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pt-BR"/>
        </w:rPr>
      </w:pPr>
      <w:bookmarkStart w:id="0" w:name="_GoBack"/>
      <w:r w:rsidRPr="00BD5723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Resumo: Os fármacos e a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: uma breve abordagem</w:t>
      </w:r>
    </w:p>
    <w:bookmarkEnd w:id="0"/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INTRODUÇÃO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Muito pouco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têm-se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falado no Brasil sobre 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estereoquímica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fármacos e sua importância na terapêutica. Segundo sua disposição espacial, como a existência de dois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fármaco pode antagonizar a ação de seu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um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apresentar um efeito terapêutico e o outro ser responsável por um efeito secundário, ou ainda os dois apresentarem a mesma atividade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um manifestar um dado efeito indesejável, dentre outras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menos importantes. Enfim, o que se sabe é que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apresentam interesses terapêuticos diferentes por apresentarem, na grande maioria das vezes, perfis terapêuticos diferentes.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Pode-se igualmente afirmar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que, na grande maioria dos casos, os fármacos administrados sob a forma racêmica possuem características biológicas muito inferiores aos seus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puros. O verapamil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- importante fármaco amplamente utilizado como antagonista do Ca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++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no tratamento da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angina 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pectoris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e em arritmias cardíacas - que é comercializado como uma mistura racêmica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é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bom exemplo para esta afirmativa. A atividade farmacológica do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dex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verapamil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(+) é diferente de seu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(-), tanto em humanos quanto em animais. Também é relatado que o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dex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verapamil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menos tóxico que a mistura racêmica.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67D55BC" wp14:editId="314EDA2D">
            <wp:extent cx="2853055" cy="865505"/>
            <wp:effectExtent l="0" t="0" r="4445" b="0"/>
            <wp:docPr id="16" name="Imagem 16" descr="http://www.scielo.br/img/revistas/qn/v20n6/a15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lo.br/img/revistas/qn/v20n6/a15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países do Primeiro Mundo, cuja indústria farmacêutica é responsável pela quase totalidade do arsenal terapêutico existente, a busca para o desenvolvimento de fármacos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enantiomericamente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puros tem crescido desde a última década. Contudo, os fármacos ainda são na sua maioria comercializados na forma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(mistura equivalente de dois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Existem alguns poucos fatores envolvidos para justificar a comercialização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poderíamos citar, entre estes, as diversas dificuldades existentes nas sínteses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puros, muitas vezes envolvendo várias etapas, o que os torna de difícil acesso sob o ponto de vista econômico. Neste aspecto, os fármacos "de origem natural" ou </w:t>
      </w:r>
      <w:proofErr w:type="spellStart"/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semi-sintéticos</w:t>
      </w:r>
      <w:proofErr w:type="spellEnd"/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ocupam importante espaço, visto a relativa facilidade de obtenção de estruturas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enantiomericamente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puras, porque os processos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biossintéticos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oferecem alto grau de estereosseletividade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Entretanto, este quadro está sendo revertido graças, entre outros aspectos, a novas técnicas na resolução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a cromatografia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 própria síntese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existência de um crescente interesse pela obtenção de fármacos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enantiomericamente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puros, pode ser demonstrado pelo número cada vez maior de trabalhos publicados nas mais diversas áreas relacionadas como a farmacodinâmica, a farmacocinética, a síntese assimétrica e o desenvolvimento de métodos analíticos. Entretanto, existem alguns fatores que poderiam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justificatificar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existência de fármacos desenvolvidos na forma racêmica, além dos problemas de ordem sintética e econômica citados anteriormente. O fenômeno da "inversão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que ocorre com os analgésicos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antiinflamatórios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esteroidais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(AINES)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arilpropiônicos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o fato de alguns fármacos apresentarem estreita janela terapêutica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alguns destes fatores que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justificativam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comercialização destas misturas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Este é um 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tema bastante sério, envolvendo cada vez mais um número crescente de pesquisadores preocupados com o aspecto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estereoquímico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medicamentos e suas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terapêutica.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QUIRALIDADE</w:t>
      </w: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4,</w:t>
      </w:r>
      <w:proofErr w:type="gram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5,6,7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abordarmos os aspectos que envolvem o termo "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", torna-se importante o situarmos num contexto mais amplo de "isomeria".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Isômeros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compostos que possuem os mesmos constituintes atômicos, porém suas disposições na molécula são diferentes, conferindo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conseqüentemente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características químicas diversas. Os isômeros possuem diferentes classificações de acordo com esta distribuição atômica (isômeros de função, de cadeia,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e, o que nos interessa neste artigo, é a distribuição de seus átomos no espaço: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aqueles isômeros cujos átomos ou grupos de átomos possuem uma distribuição espacial diferente na molécula. Eles podem ser divididos em geométricos ou ópticos. Os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isômeros geométricos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não apresentam atividade óptica</w:t>
      </w:r>
      <w:bookmarkStart w:id="1" w:name="top1"/>
      <w:bookmarkEnd w:id="1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"http://www.scielo.br/scielo.php?script=sci_arttext&amp;pid=S0100-40421997000600015" \l "back1" </w:instrTex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BD572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t-BR"/>
        </w:rPr>
        <w:t>*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e sua terminologia está centrada em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(do mesmo lado) e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trans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(lados opostos) para descrever sua disposição espacial. Para os alquenos, na maioria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da vezes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pode-se igualmente falar em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Z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trans</w:t>
      </w:r>
      <w:proofErr w:type="spellEnd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respectivamente.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Isômeros ópticos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aqueles que apresentam atividade óptica, possuindo centros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centros assimétricos. Dentro deste conceito, podemos dizer que 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manifesta--se quando a molécula possuir uma das seguintes características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6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a) um centro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bookmarkStart w:id="2" w:name="top2"/>
      <w:bookmarkEnd w:id="2"/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"http://www.scielo.br/scielo.php?script=sci_arttext&amp;pid=S0100-40421997000600015" \l "back2" </w:instrTex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BD572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t-BR"/>
        </w:rPr>
        <w:t>**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(C*, Si*, S*, P*, N*); b) um eixo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alenos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espiranos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); c) um plano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d) uma forma de hélice (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hexaeliceno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moléculas com um elemento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apresentam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enantiomeria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relacionados entre si por uma simetria em relação a um plano e são também conhecidos como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antípodas </w:t>
      </w:r>
      <w:proofErr w:type="gram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ópticos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.</w:t>
      </w:r>
      <w:proofErr w:type="gramEnd"/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moléculas que apresentam dois ou mais elementos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apresentam a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diastereoisomeria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Diastereoisômeros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por exemplo, para uma molécula com dois centros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teremos neste caso dois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diastereoisômeros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todos os seus quatro isômeros não serão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sobreponíveis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espelho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plano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5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Enquanto que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possuem as mesmas características físicas, como solubilidade ou ponto de fusão,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diastereoisômeros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apresentar diferentes propriedades físicas e também químicas, aspectos que veremos mais adiante.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ENANTIOMERIA - CONSEQÜÊNCIAS DA PRESENÇA DE UM ELEMENTO DE QUIRALIDADE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existe sob forma de dois pares de isômeros, não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superponíveis</w:t>
      </w:r>
      <w:proofErr w:type="spellEnd"/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simétricos em relação a um plano (</w:t>
      </w:r>
      <w:hyperlink r:id="rId6" w:anchor="figura1" w:history="1">
        <w:r w:rsidRPr="00BD57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Figura 1</w:t>
        </w:r>
      </w:hyperlink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):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figura1"/>
      <w:bookmarkEnd w:id="3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D767120" wp14:editId="33DEB6BC">
            <wp:extent cx="3291840" cy="2157730"/>
            <wp:effectExtent l="0" t="0" r="3810" b="0"/>
            <wp:docPr id="15" name="Imagem 15" descr="http://www.scielo.br/img/revistas/qn/v20n6/a15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elo.br/img/revistas/qn/v20n6/a15f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apresentam desvios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polarimétricos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opostos de mesma magnitude: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+ α (+) ou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dextro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); - α (-) ou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levo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onde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ângulo de rotação a é simplesmente 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rotação observada 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5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Misturas contendo igual quantidades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50:50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 são chamadas de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misturas racêmicas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(ou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são opticamente inativas. A falta de atividade óptica, neste caso, é decorrente do fato de que enquanto um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desvia o plano da luz para um determinado valor, o seu par o desvia, na mesma proporção, na direção exatamente oposta, anulando o resultado final. Este é o caso em que uma substância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inativa opticamente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5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O poder rotatório específico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depende de condições experimentais e foi definido pelo físico francês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Biot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1860, como sendo propriedade intrínseca de uma molécula opticamente ativa e é tão significativo na caracterização de um dado composto, quanto o são o ponto de fusão e a densidade, por exemplo, sendo definido pela seguinte equação: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AECF76A" wp14:editId="7FDC7A0A">
            <wp:extent cx="743585" cy="341630"/>
            <wp:effectExtent l="0" t="0" r="0" b="1270"/>
            <wp:docPr id="14" name="Imagem 14" descr="http://www.scielo.br/img/revistas/qn/v20n6/a15f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elo.br/img/revistas/qn/v20n6/a15fr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sendo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[α]: rotação específica; α: a rotação observada; c: concentração da amostra em g/ml de solução e l: o comprimento do tubo do polarímetro, em dm.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configurações das estruturas indicam a disposição dos átomos ou grupos de átomos ao redor do centro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estereogênico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Estas são indicadas pelo sistema de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Cahn</w:t>
      </w:r>
      <w:proofErr w:type="spellEnd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-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Ingold</w:t>
      </w:r>
      <w:proofErr w:type="spellEnd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-Prelog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não tem nenhuma relação com o desvio da luz polarizada. Este método permite determinar dois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distintos: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 um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a configuração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R,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seu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consequentemente a configuração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6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Um outro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sistema particular de nomenclatura utiliza D ou L para a determinação da configuração relativa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amino-ácidos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açúcares e substâncias análogas, em projeção de Fischer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6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Estes isômeros apresentam as mesmas propriedades químicas e físicas, exceto quanto à rotação específica [α]. Entretanto, eles podem apresentar diferenças extraordinárias naqueles fatores que dependem de seu rearranjo no espaço, mostrando seguidamente diferentes propriedades farmacodinâmicas e farmacocinéticas (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reconhecimento 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5,8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O termo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reconhecimento 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 5,8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tem sido empregado para processos onde algum receptor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(ou mesmo reagente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interage seletivamente com um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molécula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depende do grau de interação exibido entre cada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sítio de ligação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processos biológicos, altos níveis de reconhecimento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bastante comuns. Dois outros termos podem ser usados para comparar as diferenças farmacológicas entre dois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eutômeros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distômeros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 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,10,11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Chama-se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eutômero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isômero que apresenta a atividade 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desejada 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distômero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aquele que é inativo ou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não-desejado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A partir disto, 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proporção 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eudísmica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a razão das potências entre os dois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pode ser usada para descrever a razão de potência tanto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 vitro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 vivo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uma indicação do grau de estereosseletividade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Pequenas proporções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eudísmicas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observadas quando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eutômero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baixa afinidade pelo receptor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aumento na proporção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eudísmica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aumento da potência do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eutômero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conhecido como 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Regra de Pfeiffer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 10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cuja importância está na tentativa de estabelecer uma relação proporcional entre a potência e atividade de um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comparado com seu antípoda óptico.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Patrick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12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seu livro "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Introduction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Medicinal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Chemistry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resume muito bem as duas importantes características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"Existem somente duas diferenças detectáveis entre dois 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um composto 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: eles desviam o plano da luz polarizada em direções opostas e ainda interagem diferentemente com outros sistemas 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quirais</w:t>
      </w:r>
      <w:proofErr w:type="spellEnd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como as enzimas. Isso tem sido de grande importância para a indústria farmacêutica".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DIASTEREOISOMERIA - CONSEQÜÊNCIAS DA PRESENÇA DE DOIS OU MAIS ELEMENTOS DE QUIRALIDADE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estrutura com n elementos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existe sob a forma máxima de 2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n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isômeros opticamente ativos. Portanto, dois centros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fornecer até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compostos ativos: o número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diminuir quando for possível a forma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meso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é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opticamente inativa.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diastereoisômeros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não apresentarem, em geral, a mesma energia interna, podem apresentar propriedades químicas e físicas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diferentes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6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• ponto de fusão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ponto de ebulição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momento dipolar (µ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solubilidade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índice de refração (α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D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): em sinal e magnitude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velocidade de reação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diastereoisômeros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diferentemente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podem ser facilmente identificados pelos métodos espectroscópicos usuais: difração de Raios X, Infravermelho, RMN e Espectrometria de massas, permitindo assim determinar a configuração relativa destes estereoisômeros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13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mesmo pode-se dizer para os métodos de separação, onde os processos comuns de cromatografia ou cristalização fracionada permitem uma boa separação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diastereoisômeros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INSTRUMENTOS ANALÍTICOS PARA DETERMINAR OS ENANTIÔMEROS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apresentam diferenças físicas e nem químicas, como citado anteriormente, não podem ser analisados pelos métodos comuns. Estes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necessitam ser analisados por técnicas analíticas especiais, tanto do ponto de vista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quali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quantitativos. Este é um capítulo extenso e bastante importante, sendo apenas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apontado nesta publicação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alguns métodos empregados na análise de enantiômeros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14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5.1 Rotação</w:t>
      </w:r>
      <w:proofErr w:type="gram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óptica (α)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É ainda o mais simples e mais utilizado para se determinar a pureza óptica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 um líquido, gás ou solução de um composto opticamente ativo. Mede-se empregando o polarímetro que consiste basicamente em dois prismas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Nicol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atuando como polarizador e o outro como analisador. Essa técnica possui o 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inconveniente de exigir uma quantidade relativamente grande de amostra (da ordem de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), o que às vezes não é disponível. Também pode ser usado para a análise qualitativa de um dado composto.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5.2 Ressonância</w:t>
      </w:r>
      <w:proofErr w:type="gram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Magnética Nuclear (RMN)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Diferentemente do que foi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citado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anteriormente para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diastereoisômeros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RMN convencional não possibilita em geral distinguir entre dois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experimentos em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RMN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15,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16,17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prevêem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de solventes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(por exemplo: (+) ou (-)-1-feniletanol), reagentes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matrizes como α-, β - e γ-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ciclodextrinas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A separação dos sinais pelo uso de solventes opticamente ativos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17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dependerá do grau de assimetria ou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solvente escolhido, do grau de associação e da temperatura. A inclusão de amostras em matrizes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conduzir a uma duplicação de certos sinais, permitindo medir a proporção dos isômeros presentes. Com a separação e isolamento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Cromatografia Líquida de Alta Eficiência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posterior análise por RMN, pode-se determinar a configuração absoluta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5.3 Cromatografia</w:t>
      </w:r>
      <w:proofErr w:type="gram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 Cromatografia Líquida de Alta Eficiência (CLAE) e Cromatografia Gás-Líquido (CGL)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cromatografia é o método de resolver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empregado atualmente e que teve considerável avanço tecnológico nos últimos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anos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15,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16,18,19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CLAE e a CGL podem ser empregadas tanto para resoluções analíticas quanto para preparativas de um grande número de substâncias e dependem principalmente da seleção de uma fase estacionária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permitindo ainda uma resolução direta. Exemplos de fases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estacionárias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11,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17,18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carbohidratos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proteínas, ésteres láuricos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amino-ácidos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polisiloxanos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ciclodextrinas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modificadas.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principais aplicações da CLAE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encontram-se na determinação da pureza óptica, no isolamento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uma grande vantagem devido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alta sensibilidade analítica, no isolamento de pequenas quantidades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necessários para estudos pré-clínicos.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5.4 Birrefringência</w:t>
      </w:r>
      <w:proofErr w:type="gram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circular e dispersão óptica rotatória (ORD: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Optical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Rotatory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Dispersion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Método que se baseia nas diferentes velocidades de propagação da luz existente entre dois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dextrógiro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levógiro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O princípio deste método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a variação do poder rotatório específico [α] em função do comprimento de onda λ. Esta técnica fornece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gráficos onde as curvas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a imagem uma da outra no espelho plano, permitindo assim a análise quantitativa de uma mistura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determinar a configuração absoluta de um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</w:t>
      </w:r>
      <w:proofErr w:type="spellEnd"/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5.5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Dicroismo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Circular (CD: Circular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Dichroism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técnica (medida física) permite a determinação da configuração absoluta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 baseia na medida da diferença de intensidade de absorção entre a luz polarizada 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dextro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levo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execução desta metodologia, a substância a analisar deve absorver no </w:t>
      </w:r>
      <w:proofErr w:type="spellStart"/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ultra-violeta</w:t>
      </w:r>
      <w:proofErr w:type="spellEnd"/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ser comparada com uma substância de configuração conhecida que tenha os substituintes semelhantes (ou próximos) ao redor do centro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estereogênico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 QUIRALIDADE E ATIVIDADE BIOLÓGICA E FARMACOLÓGICA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existência de enzimas e receptores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estereoespecíficos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organismo conduz às caraterísticas biológicas diferentes para as estruturas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resultado desta ação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estereosseletiva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receptores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protéicos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devido a uma ocupação preferencial de um sítio receptor por um dos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Como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direta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teremos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mais diversas respostas biológicas para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que diz respeito aos compostos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geral postula-se, de maneira resumida, que existam quatro tipos de comportamentos biológicos esperados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a) a atividade biológica desejada é atribuída a apenas um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enquanto que o outro é inativo; b)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possuem propriedades farmacológicas idênticas (ou próximas), tanto do ponto de vista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quali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quantitativo; c) a atividade é qualitativamente idêntica, mas quantitativamente diferentes entre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d) as atividades dos dois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qualitativamente diferentes. Na </w:t>
      </w:r>
      <w:hyperlink r:id="rId9" w:anchor="tabela1" w:history="1">
        <w:r w:rsidRPr="00BD57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tabela 1</w:t>
        </w:r>
      </w:hyperlink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podem ser visualizados alguns exemplos de fármacos com suas diferentes atividades devido a sua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estereoquímica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6,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tabela1"/>
      <w:bookmarkEnd w:id="4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0285EBF" wp14:editId="47C779C3">
            <wp:extent cx="3852545" cy="5547360"/>
            <wp:effectExtent l="0" t="0" r="0" b="0"/>
            <wp:docPr id="13" name="Imagem 13" descr="http://www.scielo.br/img/revistas/qn/v20n6/a15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ielo.br/img/revistas/qn/v20n6/a15t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Contudo, esta estreita relação existente entre a atividade farmacológica e 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enantiomeria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substâncias ativas é muito forte, pois o grau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estereosseletividade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receptores biológicos e das enzimas a estas substâncias é igualmente forte. Com o grande avanço das técnicas de separação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houve a possibilidade de realização de estudos farmacológicos destes isômeros isolados de sua mistura racêmica. Este fato permitiu arrolar dados farmacocinéticos, conduzindo, de forma um tanto didática e resumida, aos seguintes exemplos de comportamentos, complementando um pouco a classificação anteriormente citada: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6.1. Um dos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apresenta atividade farmacológica e o outro é inativo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Esta é uma situação extremamente desejada, contudo bastante incomum. Um dos raros casos encontrados é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antihipertensivo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a-metildopa 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sua atividade é atribuída ao seu isômero L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8,9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Este é um dos poucos fármacos comercializados na forma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enantiomericamente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pura.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4B93BD0" wp14:editId="2138583B">
            <wp:extent cx="1353185" cy="1426210"/>
            <wp:effectExtent l="0" t="0" r="0" b="2540"/>
            <wp:docPr id="12" name="Imagem 12" descr="http://www.scielo.br/img/revistas/qn/v20n6/a15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ielo.br/img/revistas/qn/v20n6/a15img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6.2. Ambos os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apresentam potência e atividades similares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Esta é outra situação extremamente rara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uma vez que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espera-se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os receptores e as enzimas atuem seletivamente frente a diferentes arranjos espaciais. Os isômeros da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prometazina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3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9,20 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apresentam esta característica, quando comparados separadamente, no que diz respeito à atividade anti-histamínica, embora seja conhecida a alta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estereosseletividade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antagonistas dos receptores H1.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C34DD7" wp14:editId="5F8DE255">
            <wp:extent cx="1256030" cy="1036320"/>
            <wp:effectExtent l="0" t="0" r="1270" b="0"/>
            <wp:docPr id="11" name="Imagem 11" descr="http://www.scielo.br/img/revistas/qn/v20n6/a15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ielo.br/img/revistas/qn/v20n6/a15img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Um anti-histamínico H1 que não apresenta ação colinérgica como efeito secundário é a terfenadina. Embora possua um centro assimétrico em sua estrutura, estudos recentes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realizados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 vivo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seus isômeros puros, revelaram que estes possuem a mesma atividade que a mistura racêmica.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Estes são dois casos típicos onde a produção (com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subseqüente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administração) do isômero puro não oferece nenhuma vantagem frente à forma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6.3.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 atividades similares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mas</w:t>
      </w:r>
      <w:proofErr w:type="gram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potências diferentes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Contrariamente aos casos anteriores, esta é uma situação bastante comum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nimodipina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potente antagonista do cálcio, mostrou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estereosseletividade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ação para seus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estudos realizados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 vivo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 21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Os resultados mostram que o isômero puro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 foi duas vezes mais potente que a forma racêmica e que esta foi igualmente mais potente que o antípoda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(+). Este trabalho revela a existência de outro fator extremamente importante: a farmacocinética do fármaco, que pode variar de acordo com o estado físico do paciente, como doentes renais ou hepáticos e que podem apresentar enormes diferenças quando comparados com voluntários sadios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 warfarina 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4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inclui-se nesta categoria. A potência do isômero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 vivo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cerca de 2 a 5 vezes maior que seu antípoda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(+). Essa diferença é devido aos perfis farmacocinéticos/farmacodinâmicos diferentes de seus dois pares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enantioméricos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20B9A77" wp14:editId="2231B48E">
            <wp:extent cx="1548130" cy="890270"/>
            <wp:effectExtent l="0" t="0" r="0" b="5080"/>
            <wp:docPr id="10" name="Imagem 10" descr="http://www.scielo.br/img/revistas/qn/v20n6/a15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ielo.br/img/revistas/qn/v20n6/a15img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Os β-bloqueadores, e nessa classe inclui-se o propranolol 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5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ligam-se seletivamente aos receptores β, sendo que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 é o maior responsável por esta atividade β-bloqueadora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Como a warfarina, as diferenças na farmacocinética deste fármaco são as responsáveis por este comportamento diferenciado dos enantiômeros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a forma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(+) liga-se mais às proteínas plasmáticas que a forma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2EF650" wp14:editId="1BAC54D3">
            <wp:extent cx="1731010" cy="1012190"/>
            <wp:effectExtent l="0" t="0" r="2540" b="0"/>
            <wp:docPr id="9" name="Imagem 9" descr="http://www.scielo.br/img/revistas/qn/v20n6/a15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ielo.br/img/revistas/qn/v20n6/a15img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Inclui-se neste item ainda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verapamil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onde ambos 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equivalentes na potência para os efeitos vasodilatadores, mas 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(+) é cerca de 8 a 10 vezes menos potente no que diz respeito a sua ação cárdio-depressora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8,9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6.4. Um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estereoisômero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antagoniza o efeito secundário de outro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indacrinona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9,10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6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possui uma ação diurética, apresentando como efeito secundário principal a retenção de ácido úrico. Neste caso,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eutômero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(+), isto é, o responsável pela atividade diurética e também pelo efeito secundário enquanto que seu par (-) atua reduzindo os níveis de ácido úrico (agente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uricosúrico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). Estudos indicam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que variações nas proporções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enantioméricas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oferecer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becefícios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terapêuticos.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F9DEDBD" wp14:editId="08B63C36">
            <wp:extent cx="1816735" cy="1024255"/>
            <wp:effectExtent l="0" t="0" r="0" b="4445"/>
            <wp:docPr id="8" name="Imagem 8" descr="http://www.scielo.br/img/revistas/qn/v20n6/a15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elo.br/img/revistas/qn/v20n6/a15img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6.5. Um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estereoisômero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pode ser o responsável principal pela ação terapêutica desejada e o outro pelos efeitos secundários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Devido a estas características, estes isômeros são comercializados nas suas formas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enantiomericamente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puras. Podendo ser citados: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Dopa,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α-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dextropropoxifeno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(-)-timolol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No caso do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-Dopa 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7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usado como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antiparksoniano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maioria dos efeitos colaterais, como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granulocitopenia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é devida ao isômero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71FEFFD" wp14:editId="6F466405">
            <wp:extent cx="1073150" cy="1158240"/>
            <wp:effectExtent l="0" t="0" r="0" b="3810"/>
            <wp:docPr id="7" name="Imagem 7" descr="http://www.scielo.br/img/revistas/qn/v20n6/a15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ielo.br/img/revistas/qn/v20n6/a15img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6.6. A atividade existe para os dois isômeros, enquanto que o efeito indesejado é atribuído a apenas um 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deles</w:t>
      </w:r>
      <w:proofErr w:type="gramEnd"/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Pode-se exemplificar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esta situação com 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prilocaína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8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cuja ação anestésica local é atribuída a ambos os isômeros, sendo sua toxicidade devida a apenas um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0B415C" wp14:editId="4AD70E82">
            <wp:extent cx="1609090" cy="999490"/>
            <wp:effectExtent l="0" t="0" r="0" b="0"/>
            <wp:docPr id="6" name="Imagem 6" descr="http://www.scielo.br/img/revistas/qn/v20n6/a15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ielo.br/img/revistas/qn/v20n6/a15img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exemplo bastante interessante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ciclofosfamida 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9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cujo centro de assimetria é devido ao átomo de fósforo, contrariamente à esmagadora maioria onde tem-se o carbono assimétrico. Existem relatos que mostram que a atividade antitumoral deste fármaco é duas vezes mais efetiva para o isômero (-), apresentando os mesmos níveis de toxicidade que seu antípoda (+). Neste caso, talvez o desenvolvimento de formas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enantiomericamente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puras trouxesse vantagens terapêuticas.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C70853A" wp14:editId="13B3D2EC">
            <wp:extent cx="1024255" cy="804545"/>
            <wp:effectExtent l="0" t="0" r="4445" b="0"/>
            <wp:docPr id="5" name="Imagem 5" descr="http://www.scielo.br/img/revistas/qn/v20n6/a15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ielo.br/img/revistas/qn/v20n6/a15img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anestésico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cetamina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é administrado como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existem relatos de que a forma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(+) possui cerca de 3 a 4 vezes mais potência que a forma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 e ainda que este isômero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 é o responsável pelos efeitos colaterais pós-operatórios (alucinações e outras sequelas psicóticas) observados com o uso da forma racêmica deste isômero puro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 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8,9,10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6.7. Cada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estereoisômero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possui diferentes tipos de atividade de interesse terapêutico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caso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encontra-se o medicamento conhecido como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Darvon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®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(2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,3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)-(+)-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dextro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propoxifeno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possui atividade analgésica, enquanto que seu antípoda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Novrad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®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(2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,3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)-(-)-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levo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propoxifeno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antitussígeno, atividade totalmente distante dos efeitos analgésicos. Como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direta destes 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efeitos, estes medicamentos são comercializados isoladamente, possuindo logicamente especialidades farmacêuticas diferentes.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3B0D75A" wp14:editId="424288D6">
            <wp:extent cx="2828290" cy="1231265"/>
            <wp:effectExtent l="0" t="0" r="0" b="6985"/>
            <wp:docPr id="4" name="Imagem 4" descr="http://www.scielo.br/img/revistas/qn/v20n6/a15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ielo.br/img/revistas/qn/v20n6/a15img1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derivados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metilbarbituratos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apresentaram diferenças devido à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estereoquímica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seus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22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Estudos realizados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 vivo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mostraram que, para dois compostos sintetizados, dois de seus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atuaram como depressores do SNC, enquanto que seus respectivos antípodas ópticos atuaram como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convulsivantes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6.8. Um mistura de </w:t>
      </w:r>
      <w:proofErr w:type="spell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diastereoisômeros</w:t>
      </w:r>
      <w:proofErr w:type="spellEnd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pode levar a efeitos benéficos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situações em que a mistura de isômeros pode beneficiar o paciente, podendo ser comercializada como tal. É o caso do agente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antihipertensivo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labetalol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hyperlink r:id="rId20" w:anchor="figura2" w:history="1">
        <w:r w:rsidRPr="00BD57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Figura 2</w:t>
        </w:r>
      </w:hyperlink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que é comercializado em iguais proporções dos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estereoisômeros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Este fármaco é considerado um "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pseudo-híbrido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", porque múltiplas formas isoméricas estão envolvidas na atividade biológica. Seu isômero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RR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possui atividade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b-bloqueadora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isômero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SR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é predominantemente a-bloqueador; os outros 50% dos isômeros são inativos, podendo ser considerados como impureza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não são separadas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consiste em um processo caro.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figura2"/>
      <w:bookmarkEnd w:id="5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E7B7171" wp14:editId="20BBCE53">
            <wp:extent cx="4900930" cy="2523490"/>
            <wp:effectExtent l="0" t="0" r="0" b="0"/>
            <wp:docPr id="3" name="Imagem 3" descr="http://www.scielo.br/img/revistas/qn/v20n6/a15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ielo.br/img/revistas/qn/v20n6/a15f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Mesmo não sendo um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diastereoisômero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pois possui apenas um carbono assimétrico na estrutura, citaremos aqui 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bupivacaína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12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um exemplo de mistura de isômeros benéfica ao paciente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10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Ambos os isômeros da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bupivacaína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possuem atividade anestésica local, porém apenas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 forma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levo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apresenta um efeito vasoconstritor.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516AD78" wp14:editId="7209AD62">
            <wp:extent cx="1231265" cy="1243330"/>
            <wp:effectExtent l="0" t="0" r="6985" b="0"/>
            <wp:docPr id="2" name="Imagem 2" descr="http://www.scielo.br/img/revistas/qn/v20n6/a15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cielo.br/img/revistas/qn/v20n6/a15img1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7. QUIRALIDADE, METABOLISMO E </w:t>
      </w:r>
      <w:proofErr w:type="gramStart"/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FARMACOCINÉTICA</w:t>
      </w:r>
      <w:proofErr w:type="gramEnd"/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Muitos são os caminhos percorridos por um medicamento até sua completa eliminação do organismo. Contudo, este fármaco (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não) pode ser conduzido ao sítio de ação por diferentes meios de transporte e ser metabolizado por diversos mecanismos. No caso de transporte do tipo passivo, que depende basicamente das propriedades físico-químicas do fármaco, 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estereosseletividade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é importante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vimos anteriormente, suas propriedades físico-químicas são idênticas. Ao contrário, se o transporte for do tipo ativo, que implica no envolvimento de uma enzima transportadora, uma alta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estereosseletividade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observada.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consequência desta importante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estereoseletividade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especificidade pronunciadas das proteínas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teremos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importantes durante o processo farmacocinético: absorção, distribuição, metabolismo e excreção dos fármacos. Algumas relações entre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estereosseletividade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farmacocinética foram apontadas nos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ítens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anteriores e pode-se constatar a partir dos exemplos fornecidos, que a administração de um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puro conduz a extraordinárias diferenças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farmacocinéticas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9,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Portanto, é de extrema importância uma abordagem crítica acerca destes efeitos e as reais necessidades entre a comercialização de fármacos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enantiomericamente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puros 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 INVERSÃO QUIRAL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possibilidade de um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racemizar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solução permite que ocorra o fenômeno da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inversão </w:t>
      </w:r>
      <w:proofErr w:type="spellStart"/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característica justificaria a comercialização do racemato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Como exemplos deste fenômeno, podemos citar a (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)-(-)-hiosciamina (agente anticolinérgico), atropina e os agentes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antiinflamatórios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esteroidais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(AINES) da série dos 2-arilpropiônicos.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a atividade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antiinflamatória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AINES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22-26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atribuída ao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(+), estes fármacos são comercializados na sua grande maioria sob a forma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Esse fato ocorre porque no organismo os AINES sofrem uma inversão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unidirecional, envolvendo a conversão do isômero inativo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(-) ao seu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enantiômero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farmacologicamente ativo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(+). Na </w:t>
      </w:r>
      <w:hyperlink r:id="rId23" w:anchor="figura3" w:history="1">
        <w:r w:rsidRPr="00BD57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figura 3</w:t>
        </w:r>
      </w:hyperlink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encontra-se o mecanismo provável desta transformação, empregando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ibuprofeno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exemplo: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figura3"/>
      <w:bookmarkEnd w:id="6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2C0D8BD" wp14:editId="0B478B7A">
            <wp:extent cx="4316095" cy="3230880"/>
            <wp:effectExtent l="0" t="0" r="8255" b="7620"/>
            <wp:docPr id="1" name="Imagem 1" descr="http://www.scielo.br/img/revistas/qn/v20n6/a15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ielo.br/img/revistas/qn/v20n6/a15f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mecanismo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23,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25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começa, numa primeira etapa, com 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R-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(-)-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ibuprofeno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estereoespecificamente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ativado em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R-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(-)-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ibuprofeno-CoA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uma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acil-CoA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sintetase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forma ativada é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racemizada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S-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(+)-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ibuprofeno-CoA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uma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epimerase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tioéster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então hidrolisado através de uma via enzimática, para regenerar o ácido livre. A coenzima A possui um papel essencial neste processo, mas não deve ser a única enzima responsável pela formação do tio-éster. Este mecanismo de inversão foi demonstrado em ratos, sendo possível a extrapolação ao homem. Muitos autores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11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 consideram o isômero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R-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(-)-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ibuprofeno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pró-fármaco do seu antípoda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S-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(+). Estes resultados foram obtidos graças aos recentes desenvolvimentos em separações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estereoespecíficas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CLAE que permitiram acesso aos dados farmacocinéticos.</w:t>
      </w:r>
    </w:p>
    <w:p w:rsidR="00BD5723" w:rsidRPr="00BD5723" w:rsidRDefault="00BD5723" w:rsidP="00BD5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existência do fenômeno da inversão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quiral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conduz a uma aceitação da comercialização de fármacos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estereoisoméricos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forma de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. No entanto, esta justificativa é bastante controversa, existindo na literatura opiniões antagônicas a respeito</w:t>
      </w:r>
      <w:r w:rsidRPr="00BD57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27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Retomando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ibuprofeno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exemplo que, como afirmado anteriormente, é comercializado na forma racêmica e com uma determinada posologia, seu uso poderia ser </w:t>
      </w:r>
      <w:proofErr w:type="gram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melhor</w:t>
      </w:r>
      <w:proofErr w:type="gram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racionalizado. Essa racionalização seria relacionada à dose prescrita, onde com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racemato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quantidade do fármaco necessária para exercer ação é maior que se fosse administrado o </w:t>
      </w:r>
      <w:proofErr w:type="spellStart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eutômero</w:t>
      </w:r>
      <w:proofErr w:type="spellEnd"/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puro </w:t>
      </w:r>
      <w:r w:rsidRPr="00BD572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 </w:t>
      </w:r>
      <w:r w:rsidRPr="00BD5723">
        <w:rPr>
          <w:rFonts w:ascii="Times New Roman" w:eastAsia="Times New Roman" w:hAnsi="Times New Roman" w:cs="Times New Roman"/>
          <w:sz w:val="24"/>
          <w:szCs w:val="24"/>
          <w:lang w:eastAsia="pt-BR"/>
        </w:rPr>
        <w:t>(+), uma vez que essa inversão não ocorre totalmente.</w:t>
      </w:r>
    </w:p>
    <w:p w:rsidR="00541A4B" w:rsidRPr="00BD5723" w:rsidRDefault="00BD5723">
      <w:pPr>
        <w:rPr>
          <w:rFonts w:ascii="Times New Roman" w:hAnsi="Times New Roman" w:cs="Times New Roman"/>
          <w:sz w:val="24"/>
          <w:szCs w:val="24"/>
        </w:rPr>
      </w:pPr>
    </w:p>
    <w:sectPr w:rsidR="00541A4B" w:rsidRPr="00BD5723" w:rsidSect="00BD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3"/>
    <w:rsid w:val="009C78F5"/>
    <w:rsid w:val="00A23EDD"/>
    <w:rsid w:val="00B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572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572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hyperlink" Target="http://www.scielo.br/scielo.php?script=sci_arttext&amp;pid=S0100-4042199700060001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lo.br/scielo.php?script=sci_arttext&amp;pid=S0100-40421997000600015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6.gif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hyperlink" Target="http://www.scielo.br/scielo.php?script=sci_arttext&amp;pid=S0100-40421997000600015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script=sci_arttext&amp;pid=S0100-40421997000600015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4286</Words>
  <Characters>23148</Characters>
  <Application>Microsoft Office Word</Application>
  <DocSecurity>0</DocSecurity>
  <Lines>192</Lines>
  <Paragraphs>54</Paragraphs>
  <ScaleCrop>false</ScaleCrop>
  <Company/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2019-11-27T17:43:00Z</dcterms:created>
  <dcterms:modified xsi:type="dcterms:W3CDTF">2019-11-27T17:45:00Z</dcterms:modified>
</cp:coreProperties>
</file>