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b/>
          <w:sz w:val="44"/>
          <w:lang w:val="pt-PT" w:eastAsia="pt-BR"/>
        </w:rPr>
      </w:pPr>
      <w:bookmarkStart w:id="0" w:name="_GoBack"/>
      <w:r w:rsidRPr="00B06D67">
        <w:rPr>
          <w:rFonts w:ascii="Times New Roman" w:hAnsi="Times New Roman" w:cs="Times New Roman"/>
          <w:b/>
          <w:sz w:val="44"/>
          <w:lang w:val="pt-PT" w:eastAsia="pt-BR"/>
        </w:rPr>
        <w:t>Literatura barroca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eastAsia="pt-BR"/>
        </w:rPr>
      </w:pP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eastAsia="pt-BR"/>
        </w:rPr>
      </w:pPr>
      <w:r w:rsidRPr="00B06D67">
        <w:rPr>
          <w:rFonts w:ascii="Times New Roman" w:hAnsi="Times New Roman" w:cs="Times New Roman"/>
          <w:sz w:val="21"/>
          <w:szCs w:val="21"/>
          <w:u w:val="single"/>
          <w:bdr w:val="none" w:sz="0" w:space="0" w:color="auto" w:frame="1"/>
          <w:lang w:eastAsia="pt-BR"/>
        </w:rPr>
        <w:t xml:space="preserve">Saltar para a </w:t>
      </w:r>
      <w:proofErr w:type="spellStart"/>
      <w:proofErr w:type="gramStart"/>
      <w:r w:rsidRPr="00B06D67">
        <w:rPr>
          <w:rFonts w:ascii="Times New Roman" w:hAnsi="Times New Roman" w:cs="Times New Roman"/>
          <w:sz w:val="21"/>
          <w:szCs w:val="21"/>
          <w:u w:val="single"/>
          <w:bdr w:val="none" w:sz="0" w:space="0" w:color="auto" w:frame="1"/>
          <w:lang w:eastAsia="pt-BR"/>
        </w:rPr>
        <w:t>navegaçãoSaltar</w:t>
      </w:r>
      <w:proofErr w:type="spellEnd"/>
      <w:proofErr w:type="gramEnd"/>
      <w:r w:rsidRPr="00B06D67">
        <w:rPr>
          <w:rFonts w:ascii="Times New Roman" w:hAnsi="Times New Roman" w:cs="Times New Roman"/>
          <w:sz w:val="21"/>
          <w:szCs w:val="21"/>
          <w:u w:val="single"/>
          <w:bdr w:val="none" w:sz="0" w:space="0" w:color="auto" w:frame="1"/>
          <w:lang w:eastAsia="pt-BR"/>
        </w:rPr>
        <w:t xml:space="preserve"> para a pesquisa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O Barroco sucedeu ao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Renascimento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 abrangendo do final do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século XVI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ao final do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século XVIII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 estendendo-se a todas as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manifestações culturais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e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artísticas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europeias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e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latino-americanas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. O momento final do Barroco, o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Rococó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é considerado um barroco exagerado e exuberante, e para alguns, a decadência do movimento.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Em sua estética, o barroco revela a busca da novidade e da surpresa; o gosto pela dificuldade, pregando a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ideia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de que se nada é estável tudo deve ser decifrado; a tendência ao artifício e ao engenho; a noção de que no inacabado reside o ideal supremo de uma obra artística.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A literatura barroca se caracteriza pelo uso da linguagem dramática expressa no exagero de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figuras de linguagem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 de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hipérboles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metafóricos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anacolutos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e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antíteses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.</w:t>
      </w:r>
    </w:p>
    <w:p w:rsidR="00942B62" w:rsidRPr="00B06D67" w:rsidRDefault="00B06D67" w:rsidP="00B06D67">
      <w:pPr>
        <w:pStyle w:val="SemEspaamento"/>
        <w:jc w:val="both"/>
        <w:rPr>
          <w:rFonts w:ascii="Times New Roman" w:hAnsi="Times New Roman" w:cs="Times New Roman"/>
          <w:sz w:val="20"/>
          <w:szCs w:val="20"/>
          <w:lang w:val="pt-PT" w:eastAsia="pt-BR"/>
        </w:rPr>
      </w:pPr>
      <w:r w:rsidRPr="00B06D67">
        <w:rPr>
          <w:rFonts w:ascii="Times New Roman" w:hAnsi="Times New Roman" w:cs="Times New Roman"/>
          <w:sz w:val="20"/>
          <w:szCs w:val="20"/>
          <w:lang w:val="pt-PT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9.9pt;height:18pt">
            <v:imagedata r:id="rId6" o:title=""/>
          </v:shape>
        </w:pic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32"/>
          <w:szCs w:val="32"/>
          <w:lang w:val="pt-PT" w:eastAsia="pt-BR"/>
        </w:rPr>
      </w:pPr>
      <w:r w:rsidRPr="00B06D67">
        <w:rPr>
          <w:rFonts w:ascii="Times New Roman" w:hAnsi="Times New Roman" w:cs="Times New Roman"/>
          <w:sz w:val="32"/>
          <w:szCs w:val="32"/>
          <w:lang w:val="pt-PT" w:eastAsia="pt-BR"/>
        </w:rPr>
        <w:t>Etimologia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 xml:space="preserve">Esta palavra é derivada do português 'barroco', que designa a pérola irregular, imperfeita e grosseira - tal como os clássicos qualificavam o estilo, que consideravam irregular, defeituoso ou de mau </w:t>
      </w:r>
      <w:proofErr w:type="gramStart"/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gosto.</w:t>
      </w:r>
      <w:proofErr w:type="gramEnd"/>
      <w:r w:rsidRPr="00B06D67">
        <w:rPr>
          <w:rFonts w:ascii="Times New Roman" w:hAnsi="Times New Roman" w:cs="Times New Roman"/>
          <w:sz w:val="17"/>
          <w:szCs w:val="17"/>
          <w:u w:val="single"/>
          <w:vertAlign w:val="superscript"/>
          <w:lang w:val="pt-PT" w:eastAsia="pt-BR"/>
        </w:rPr>
        <w:t>[1]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Segundo outros, o termo deriva de "baroco", palavra criada como recurso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mnemônico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para um dos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silogismos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aristotélicos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. Outra possibilidade é a de que a palavra tenha origem no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latim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</w:t>
      </w:r>
      <w:r w:rsidRPr="00B06D67">
        <w:rPr>
          <w:rFonts w:ascii="Times New Roman" w:hAnsi="Times New Roman" w:cs="Times New Roman"/>
          <w:i/>
          <w:iCs/>
          <w:sz w:val="21"/>
          <w:szCs w:val="21"/>
          <w:lang w:val="pt-PT" w:eastAsia="pt-BR"/>
        </w:rPr>
        <w:t>bis-roca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 que significa 'pedra torta ou defeituosa</w:t>
      </w:r>
      <w:proofErr w:type="gramStart"/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'.</w:t>
      </w:r>
      <w:proofErr w:type="gramEnd"/>
      <w:r w:rsidRPr="00B06D67">
        <w:rPr>
          <w:rFonts w:ascii="Times New Roman" w:hAnsi="Times New Roman" w:cs="Times New Roman"/>
          <w:sz w:val="17"/>
          <w:szCs w:val="17"/>
          <w:u w:val="single"/>
          <w:vertAlign w:val="superscript"/>
          <w:lang w:val="pt-PT" w:eastAsia="pt-BR"/>
        </w:rPr>
        <w:t>[2][3]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De todo modo, assim como a maior parte das designações de períodos ou estilos, o uso da palavra 'barroco' para qualificar a arte e a literatura do século XVII e do início do XVIII foi introduzido pelos críticos - e não pelos artistas do período, que não se consideravam "barrocos"</w:t>
      </w:r>
      <w:proofErr w:type="gramStart"/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 xml:space="preserve"> mas</w:t>
      </w:r>
      <w:proofErr w:type="gramEnd"/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 xml:space="preserve"> "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clássicos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". Tinha um sentido pejorativo, fazendo referência aos excessos expressivos, à redundância e à abundância de detalhes que caracterizavam o estilo, atributos que contrastavam com a clara e sóbria racionalidade do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Renascimento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. O termo foi aplicado pela primeira vez, nesse sentido, à música - e não à arquitetura - numa sátira anônima à estreia de </w:t>
      </w:r>
      <w:r w:rsidRPr="00B06D67">
        <w:rPr>
          <w:rFonts w:ascii="Times New Roman" w:hAnsi="Times New Roman" w:cs="Times New Roman"/>
          <w:i/>
          <w:iCs/>
          <w:sz w:val="21"/>
          <w:szCs w:val="21"/>
          <w:u w:val="single"/>
          <w:lang w:val="pt-PT" w:eastAsia="pt-BR"/>
        </w:rPr>
        <w:t xml:space="preserve">Hippolyte </w:t>
      </w:r>
      <w:proofErr w:type="gramStart"/>
      <w:r w:rsidRPr="00B06D67">
        <w:rPr>
          <w:rFonts w:ascii="Times New Roman" w:hAnsi="Times New Roman" w:cs="Times New Roman"/>
          <w:i/>
          <w:iCs/>
          <w:sz w:val="21"/>
          <w:szCs w:val="21"/>
          <w:u w:val="single"/>
          <w:lang w:val="pt-PT" w:eastAsia="pt-BR"/>
        </w:rPr>
        <w:t>et</w:t>
      </w:r>
      <w:proofErr w:type="gramEnd"/>
      <w:r w:rsidRPr="00B06D67">
        <w:rPr>
          <w:rFonts w:ascii="Times New Roman" w:hAnsi="Times New Roman" w:cs="Times New Roman"/>
          <w:i/>
          <w:iCs/>
          <w:sz w:val="21"/>
          <w:szCs w:val="21"/>
          <w:u w:val="single"/>
          <w:lang w:val="pt-PT" w:eastAsia="pt-BR"/>
        </w:rPr>
        <w:t xml:space="preserve"> Aricie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de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Jean-Philippe Rameau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 em outubro de 1733, publicada no jornal literário </w:t>
      </w:r>
      <w:r w:rsidRPr="00B06D67">
        <w:rPr>
          <w:rFonts w:ascii="Times New Roman" w:hAnsi="Times New Roman" w:cs="Times New Roman"/>
          <w:i/>
          <w:iCs/>
          <w:sz w:val="21"/>
          <w:szCs w:val="21"/>
          <w:u w:val="single"/>
          <w:lang w:val="pt-PT" w:eastAsia="pt-BR"/>
        </w:rPr>
        <w:t>Mercure de France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 xml:space="preserve">, em maio de 1734. Segundo o crítico em questão, a ópera de Rameau era "barocque", faltando-lhe coerência melódica, </w:t>
      </w:r>
      <w:proofErr w:type="gramStart"/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ao mesmo tempo que</w:t>
      </w:r>
      <w:proofErr w:type="gramEnd"/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 xml:space="preserve"> lhe sobravam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dissonâncias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.</w:t>
      </w:r>
      <w:r w:rsidRPr="00B06D67">
        <w:rPr>
          <w:rFonts w:ascii="Times New Roman" w:hAnsi="Times New Roman" w:cs="Times New Roman"/>
          <w:sz w:val="17"/>
          <w:szCs w:val="17"/>
          <w:u w:val="single"/>
          <w:vertAlign w:val="superscript"/>
          <w:lang w:val="pt-PT" w:eastAsia="pt-BR"/>
        </w:rPr>
        <w:t>[4]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32"/>
          <w:szCs w:val="32"/>
          <w:lang w:val="pt-PT" w:eastAsia="pt-BR"/>
        </w:rPr>
      </w:pPr>
      <w:r w:rsidRPr="00B06D67">
        <w:rPr>
          <w:rFonts w:ascii="Times New Roman" w:hAnsi="Times New Roman" w:cs="Times New Roman"/>
          <w:sz w:val="32"/>
          <w:szCs w:val="32"/>
          <w:lang w:val="pt-PT" w:eastAsia="pt-BR"/>
        </w:rPr>
        <w:t xml:space="preserve">A origem do </w:t>
      </w:r>
      <w:proofErr w:type="gramStart"/>
      <w:r w:rsidRPr="00B06D67">
        <w:rPr>
          <w:rFonts w:ascii="Times New Roman" w:hAnsi="Times New Roman" w:cs="Times New Roman"/>
          <w:sz w:val="32"/>
          <w:szCs w:val="32"/>
          <w:lang w:val="pt-PT" w:eastAsia="pt-BR"/>
        </w:rPr>
        <w:t>barroco</w:t>
      </w:r>
      <w:r w:rsidRPr="00B06D67">
        <w:rPr>
          <w:rFonts w:ascii="Times New Roman" w:hAnsi="Times New Roman" w:cs="Times New Roman"/>
          <w:sz w:val="24"/>
          <w:szCs w:val="24"/>
          <w:lang w:val="pt-PT" w:eastAsia="pt-BR"/>
        </w:rPr>
        <w:t>[</w:t>
      </w:r>
      <w:proofErr w:type="gramEnd"/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Em Portugal, o Barroco, também chamado Seiscentismo (por ter sido estilo que teve início no final do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século XVI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), tem como marco inicial a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Unificação da Península Ibérica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sob o domínio espanhol em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1580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 estendendo-se até por volta da primeira metade do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século XVIII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 quando ocorre a fundação da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Arcádia Lusitana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 em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1756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e tem início o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Arcadismo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.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O Barroco corresponde a um período de grande turbulência político-econômica, social, e principalmente religiosa. A incerteza e a crise tomam conta da vida portuguesa. Fatos importantes como: o término do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Ciclo das Grandes Navegações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 a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Reforma Protestante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 liderada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Lutero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(na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Alemanha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) e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Calvino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(na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França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) e o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Movimento Católico de Contra-Reforma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 xml:space="preserve">, marcam o contexto histórico do período e </w:t>
      </w:r>
      <w:proofErr w:type="gramStart"/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colaboram</w:t>
      </w:r>
      <w:proofErr w:type="gramEnd"/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 xml:space="preserve"> com a criação do "Mito do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Sebastianismo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", crença segundo a qual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D. Sebastião, rei de Portugal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(aquele a quem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Camões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dedicou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Os Lusíadas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), não havia morrido, em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1578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 na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Batalha de Alcácer Quibir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 mas que estava apenas "encoberto" e que voltaria para transformar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Portugal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no Quinto Império de que falam as Escrituras Sagradas.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O marco inicial do Barroco brasileiro é o poema épico, </w:t>
      </w:r>
      <w:r w:rsidRPr="00B06D67">
        <w:rPr>
          <w:rFonts w:ascii="Times New Roman" w:hAnsi="Times New Roman" w:cs="Times New Roman"/>
          <w:i/>
          <w:iCs/>
          <w:sz w:val="21"/>
          <w:szCs w:val="21"/>
          <w:u w:val="single"/>
          <w:lang w:val="pt-PT" w:eastAsia="pt-BR"/>
        </w:rPr>
        <w:t>Prosopopeia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de Bento Teixeira (1601). Há dúvidas quanto à origem do poeta, estudos literários recentes afirmam que ele nasceu em Portugal, porém viveu grande parte de sua vida no Brasil, em Pernambuco.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32"/>
          <w:szCs w:val="32"/>
          <w:lang w:val="pt-PT" w:eastAsia="pt-BR"/>
        </w:rPr>
      </w:pPr>
      <w:r w:rsidRPr="00B06D67">
        <w:rPr>
          <w:rFonts w:ascii="Times New Roman" w:hAnsi="Times New Roman" w:cs="Times New Roman"/>
          <w:sz w:val="32"/>
          <w:szCs w:val="32"/>
          <w:lang w:val="pt-PT" w:eastAsia="pt-BR"/>
        </w:rPr>
        <w:t>Características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As principais características barrocas são: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Dualismo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: O Barroco é a arte do conflito, do contraste. Reflete a intensificação do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bifrontismo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(o homem dividido entre a herança religiosa e mística medieval e o espírito humanista, racionalista do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Renascimento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). É a expressão do contraste entre as grandes forças reguladoras da existência humana: fé x razão; corpo x alma; Deus x Diabo; vida x morte, etc. Esse contraste será visível em toda a produção barroca, é frequente o jogo, o contraste de imagens, de palavras e de conceitos. Mas o artista barroco não deseja apenas expor os contrários, ele quer conciliá-los, integrá-los. Daí ser frequente o uso de figuras de linguagem que buscam essa unidade, essa fusão.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Fugacidade: De acordo com a concepção barroca, no mundo tudo é passageiro e instável, as pessoas, as coisas mudam, o mundo muda. O autor barroco tem a consciência do caráter efêmero da existência.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Pessimismo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: Essa consciência da transitoriedade da vida conduz frequentemente à ideia de morte, tida como a expressão máxima da fugacidade da vida. A incerteza da vida e o medo da morte fazem da arte barroca uma arte pessimista, marcada por um desencantamento com o próprio homem e com o mundo.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Feísmo: No Barroco encontramos uma atração por cenas trágicas, por aspectos cruéis, dolorosos e grotescos. As imagens frequentemente são deformadas pelo exagero de detalhes. Há nesse momento uma ruptura com a harmonia, com o equilíbrio e a sobriedade clássica.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Cultismo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: jogo de palavras, o uso culto da língua, predominando inversões sintáticas.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Conceptismo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: jogo de raciocínio e de retórica que visa melhor explicar o conflito dos opostos.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proofErr w:type="gramStart"/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Linguagem rebuscada e trabalhada ao extremo, usando muitos recursos estilísticos, figuras</w:t>
      </w:r>
      <w:proofErr w:type="gramEnd"/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 xml:space="preserve"> de linguagem e sintaxe,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hipérboles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metáforas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antíteses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e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paradoxos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.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Literatura moralista, já que era usada pelos padres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jesuítas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para pregar a fé e a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religião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.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lastRenderedPageBreak/>
        <w:t>Antropocentrismo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x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Teocentrismo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(homem X Deus, carne X espírito)</w:t>
      </w:r>
      <w:proofErr w:type="gramStart"/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..</w:t>
      </w:r>
      <w:proofErr w:type="gramEnd"/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32"/>
          <w:szCs w:val="32"/>
          <w:lang w:val="pt-PT" w:eastAsia="pt-BR"/>
        </w:rPr>
      </w:pPr>
      <w:r w:rsidRPr="00B06D67">
        <w:rPr>
          <w:rFonts w:ascii="Times New Roman" w:hAnsi="Times New Roman" w:cs="Times New Roman"/>
          <w:sz w:val="32"/>
          <w:szCs w:val="32"/>
          <w:lang w:val="pt-PT" w:eastAsia="pt-BR"/>
        </w:rPr>
        <w:t>Barroco Ibérico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O barroco ibérico diz que há dois modos de se conhecer a realidade: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b/>
          <w:bCs/>
          <w:sz w:val="21"/>
          <w:szCs w:val="21"/>
          <w:lang w:val="pt-PT" w:eastAsia="pt-BR"/>
        </w:rPr>
        <w:t>Cultismo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-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descrição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simples de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objetos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usando uma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linguagem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 xml:space="preserve"> rebuscada, culta e extravagante, </w:t>
      </w:r>
      <w:proofErr w:type="gramStart"/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jogo</w:t>
      </w:r>
      <w:proofErr w:type="gramEnd"/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 xml:space="preserve"> de palavras (paradoxo), com uma influência visível do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poeta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espanhol Luís de Gôngora (aí o estilo ser chamado também de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Gongorismo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). Caracterizado também pelo grande uso no emprego de figuras de linguagem como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metáforas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antíteses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hipérboles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anáforas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 etc.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b/>
          <w:bCs/>
          <w:sz w:val="21"/>
          <w:szCs w:val="21"/>
          <w:lang w:val="pt-PT" w:eastAsia="pt-BR"/>
        </w:rPr>
        <w:t>Conceptismo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- marcado pelo jogo de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ideias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 de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conceitos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 seguindo um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raciocínio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lógico, racionalista e que utiliza uma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retórica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aprimorada. Os conceptistas pesquisavam a essência íntima dos objetos, buscando saber o que são, assim, a inteligência, lógica e raciocínio ocupam o lugar dos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sentidos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 xml:space="preserve">. Assim, é muito comum a presença de elementos da lógica formal como o silogismo e o </w:t>
      </w:r>
      <w:proofErr w:type="gramStart"/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sofisma</w:t>
      </w:r>
      <w:proofErr w:type="gramEnd"/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32"/>
          <w:szCs w:val="32"/>
          <w:lang w:val="pt-PT" w:eastAsia="pt-BR"/>
        </w:rPr>
      </w:pPr>
      <w:r w:rsidRPr="00B06D67">
        <w:rPr>
          <w:rFonts w:ascii="Times New Roman" w:hAnsi="Times New Roman" w:cs="Times New Roman"/>
          <w:sz w:val="32"/>
          <w:szCs w:val="32"/>
          <w:lang w:val="pt-PT" w:eastAsia="pt-BR"/>
        </w:rPr>
        <w:t xml:space="preserve">Barroco no </w:t>
      </w:r>
      <w:proofErr w:type="gramStart"/>
      <w:r w:rsidRPr="00B06D67">
        <w:rPr>
          <w:rFonts w:ascii="Times New Roman" w:hAnsi="Times New Roman" w:cs="Times New Roman"/>
          <w:sz w:val="32"/>
          <w:szCs w:val="32"/>
          <w:lang w:val="pt-PT" w:eastAsia="pt-BR"/>
        </w:rPr>
        <w:t>Brasil</w:t>
      </w:r>
      <w:r w:rsidRPr="00B06D67">
        <w:rPr>
          <w:rFonts w:ascii="Times New Roman" w:hAnsi="Times New Roman" w:cs="Times New Roman"/>
          <w:sz w:val="24"/>
          <w:szCs w:val="24"/>
          <w:lang w:val="pt-PT" w:eastAsia="pt-BR"/>
        </w:rPr>
        <w:t>[</w:t>
      </w:r>
      <w:proofErr w:type="gramEnd"/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O poema épico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Prosopopeia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 de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Bento Teixeira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 publicado em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1601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 apesar de considerado um documento de pouco valor literário, é indicado como o início do Barroco na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 xml:space="preserve">Literatura </w:t>
      </w:r>
      <w:proofErr w:type="gramStart"/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Brasileira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.</w:t>
      </w:r>
      <w:proofErr w:type="gramEnd"/>
      <w:r w:rsidRPr="00B06D67">
        <w:rPr>
          <w:rFonts w:ascii="Times New Roman" w:hAnsi="Times New Roman" w:cs="Times New Roman"/>
          <w:sz w:val="17"/>
          <w:szCs w:val="17"/>
          <w:vertAlign w:val="superscript"/>
          <w:lang w:val="pt-PT" w:eastAsia="pt-BR"/>
        </w:rPr>
        <w:t>[</w:t>
      </w:r>
      <w:r w:rsidRPr="00B06D67">
        <w:rPr>
          <w:rFonts w:ascii="Times New Roman" w:hAnsi="Times New Roman" w:cs="Times New Roman"/>
          <w:i/>
          <w:iCs/>
          <w:sz w:val="17"/>
          <w:szCs w:val="17"/>
          <w:u w:val="single"/>
          <w:vertAlign w:val="superscript"/>
          <w:lang w:val="pt-PT" w:eastAsia="pt-BR"/>
        </w:rPr>
        <w:t>carece de fontes</w:t>
      </w:r>
      <w:r w:rsidRPr="00B06D67">
        <w:rPr>
          <w:rFonts w:ascii="Times New Roman" w:hAnsi="Times New Roman" w:cs="Times New Roman"/>
          <w:sz w:val="17"/>
          <w:szCs w:val="17"/>
          <w:vertAlign w:val="superscript"/>
          <w:lang w:val="pt-PT" w:eastAsia="pt-BR"/>
        </w:rPr>
        <w:t>]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b/>
          <w:bCs/>
          <w:sz w:val="25"/>
          <w:szCs w:val="25"/>
          <w:lang w:val="pt-PT" w:eastAsia="pt-BR"/>
        </w:rPr>
      </w:pPr>
      <w:r w:rsidRPr="00B06D67">
        <w:rPr>
          <w:rFonts w:ascii="Times New Roman" w:hAnsi="Times New Roman" w:cs="Times New Roman"/>
          <w:b/>
          <w:bCs/>
          <w:sz w:val="25"/>
          <w:szCs w:val="25"/>
          <w:lang w:val="pt-PT" w:eastAsia="pt-BR"/>
        </w:rPr>
        <w:t xml:space="preserve">Autores </w:t>
      </w:r>
      <w:proofErr w:type="gramStart"/>
      <w:r w:rsidRPr="00B06D67">
        <w:rPr>
          <w:rFonts w:ascii="Times New Roman" w:hAnsi="Times New Roman" w:cs="Times New Roman"/>
          <w:b/>
          <w:bCs/>
          <w:sz w:val="25"/>
          <w:szCs w:val="25"/>
          <w:lang w:val="pt-PT" w:eastAsia="pt-BR"/>
        </w:rPr>
        <w:t>representativos</w:t>
      </w:r>
      <w:r w:rsidRPr="00B06D67">
        <w:rPr>
          <w:rFonts w:ascii="Times New Roman" w:hAnsi="Times New Roman" w:cs="Times New Roman"/>
          <w:sz w:val="24"/>
          <w:szCs w:val="24"/>
          <w:lang w:val="pt-PT" w:eastAsia="pt-BR"/>
        </w:rPr>
        <w:t>[</w:t>
      </w:r>
      <w:proofErr w:type="gramEnd"/>
      <w:r w:rsidRPr="00B06D67">
        <w:rPr>
          <w:rFonts w:ascii="Times New Roman" w:hAnsi="Times New Roman" w:cs="Times New Roman"/>
          <w:sz w:val="24"/>
          <w:szCs w:val="24"/>
          <w:u w:val="single"/>
          <w:lang w:val="pt-PT" w:eastAsia="pt-BR"/>
        </w:rPr>
        <w:t>editar</w:t>
      </w:r>
      <w:r w:rsidRPr="00B06D67">
        <w:rPr>
          <w:rFonts w:ascii="Times New Roman" w:hAnsi="Times New Roman" w:cs="Times New Roman"/>
          <w:sz w:val="24"/>
          <w:szCs w:val="24"/>
          <w:lang w:val="pt-PT" w:eastAsia="pt-BR"/>
        </w:rPr>
        <w:t> | </w:t>
      </w:r>
      <w:r w:rsidRPr="00B06D67">
        <w:rPr>
          <w:rFonts w:ascii="Times New Roman" w:hAnsi="Times New Roman" w:cs="Times New Roman"/>
          <w:sz w:val="24"/>
          <w:szCs w:val="24"/>
          <w:u w:val="single"/>
          <w:lang w:val="pt-PT" w:eastAsia="pt-BR"/>
        </w:rPr>
        <w:t>editar código-fonte</w:t>
      </w:r>
      <w:r w:rsidRPr="00B06D67">
        <w:rPr>
          <w:rFonts w:ascii="Times New Roman" w:hAnsi="Times New Roman" w:cs="Times New Roman"/>
          <w:sz w:val="24"/>
          <w:szCs w:val="24"/>
          <w:lang w:val="pt-PT" w:eastAsia="pt-BR"/>
        </w:rPr>
        <w:t>]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b/>
          <w:bCs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b/>
          <w:bCs/>
          <w:sz w:val="21"/>
          <w:szCs w:val="21"/>
          <w:lang w:val="pt-PT" w:eastAsia="pt-BR"/>
        </w:rPr>
        <w:t>Brasileiros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Gregório de Matos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 representando a vértice </w:t>
      </w:r>
      <w:r w:rsidRPr="00B06D67">
        <w:rPr>
          <w:rFonts w:ascii="Times New Roman" w:hAnsi="Times New Roman" w:cs="Times New Roman"/>
          <w:b/>
          <w:bCs/>
          <w:sz w:val="21"/>
          <w:szCs w:val="21"/>
          <w:u w:val="single"/>
          <w:lang w:val="pt-PT" w:eastAsia="pt-BR"/>
        </w:rPr>
        <w:t>cultista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do barroco;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i/>
          <w:iCs/>
          <w:sz w:val="21"/>
          <w:szCs w:val="21"/>
          <w:lang w:val="pt-PT" w:eastAsia="pt-BR"/>
        </w:rPr>
        <w:t>Poesia religiosa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- Apresenta uma imagem quase que exclusiva: o homem ajoelhado diante de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Deus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 implorando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perdão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para os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pecados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cometidos.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Bento Teixeira Pinto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Manuel Botelho de Oliveira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Padre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António Vieira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Frei Manuel de Santa Maria Itaparica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b/>
          <w:bCs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b/>
          <w:bCs/>
          <w:sz w:val="21"/>
          <w:szCs w:val="21"/>
          <w:lang w:val="pt-PT" w:eastAsia="pt-BR"/>
        </w:rPr>
        <w:t>Portugueses</w:t>
      </w:r>
    </w:p>
    <w:p w:rsidR="00942B62" w:rsidRPr="00B06D67" w:rsidRDefault="00942B62" w:rsidP="00B06D67">
      <w:pPr>
        <w:pStyle w:val="SemEspaamento"/>
        <w:jc w:val="both"/>
        <w:rPr>
          <w:rFonts w:ascii="Times New Roman" w:hAnsi="Times New Roman" w:cs="Times New Roman"/>
          <w:sz w:val="21"/>
          <w:szCs w:val="21"/>
          <w:lang w:val="pt-PT" w:eastAsia="pt-BR"/>
        </w:rPr>
      </w:pP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Padre </w:t>
      </w:r>
      <w:r w:rsidRPr="00B06D67">
        <w:rPr>
          <w:rFonts w:ascii="Times New Roman" w:hAnsi="Times New Roman" w:cs="Times New Roman"/>
          <w:sz w:val="21"/>
          <w:szCs w:val="21"/>
          <w:u w:val="single"/>
          <w:lang w:val="pt-PT" w:eastAsia="pt-BR"/>
        </w:rPr>
        <w:t>António Vieira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, representando a vértice </w:t>
      </w:r>
      <w:r w:rsidRPr="00B06D67">
        <w:rPr>
          <w:rFonts w:ascii="Times New Roman" w:hAnsi="Times New Roman" w:cs="Times New Roman"/>
          <w:b/>
          <w:bCs/>
          <w:sz w:val="21"/>
          <w:szCs w:val="21"/>
          <w:u w:val="single"/>
          <w:lang w:val="pt-PT" w:eastAsia="pt-BR"/>
        </w:rPr>
        <w:t>conceptista</w:t>
      </w:r>
      <w:r w:rsidRPr="00B06D67">
        <w:rPr>
          <w:rFonts w:ascii="Times New Roman" w:hAnsi="Times New Roman" w:cs="Times New Roman"/>
          <w:sz w:val="21"/>
          <w:szCs w:val="21"/>
          <w:lang w:val="pt-PT" w:eastAsia="pt-BR"/>
        </w:rPr>
        <w:t> do Barroco.</w:t>
      </w:r>
    </w:p>
    <w:bookmarkEnd w:id="0"/>
    <w:p w:rsidR="00942B62" w:rsidRPr="00B06D67" w:rsidRDefault="00942B62" w:rsidP="00B06D67">
      <w:pPr>
        <w:jc w:val="both"/>
        <w:rPr>
          <w:rFonts w:ascii="Times New Roman" w:hAnsi="Times New Roman" w:cs="Times New Roman"/>
          <w:lang w:val="pt-PT"/>
        </w:rPr>
      </w:pPr>
    </w:p>
    <w:sectPr w:rsidR="00942B62" w:rsidRPr="00B06D67" w:rsidSect="00B06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643B"/>
    <w:multiLevelType w:val="multilevel"/>
    <w:tmpl w:val="F17C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604F8"/>
    <w:multiLevelType w:val="multilevel"/>
    <w:tmpl w:val="AFE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D6CD3"/>
    <w:multiLevelType w:val="multilevel"/>
    <w:tmpl w:val="6CB0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F03E8"/>
    <w:multiLevelType w:val="multilevel"/>
    <w:tmpl w:val="0CD4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46961"/>
    <w:multiLevelType w:val="multilevel"/>
    <w:tmpl w:val="DBCE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A7759"/>
    <w:multiLevelType w:val="multilevel"/>
    <w:tmpl w:val="E890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62"/>
    <w:rsid w:val="00942B62"/>
    <w:rsid w:val="009C78F5"/>
    <w:rsid w:val="00A23EDD"/>
    <w:rsid w:val="00B0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B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42B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B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42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6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288812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cp:lastPrinted>2019-11-25T15:39:00Z</cp:lastPrinted>
  <dcterms:created xsi:type="dcterms:W3CDTF">2019-11-25T15:37:00Z</dcterms:created>
  <dcterms:modified xsi:type="dcterms:W3CDTF">2019-11-26T20:34:00Z</dcterms:modified>
</cp:coreProperties>
</file>