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6B7" w:rsidRPr="003726B7" w:rsidRDefault="003726B7" w:rsidP="003726B7">
      <w:pPr>
        <w:shd w:val="clear" w:color="auto" w:fill="FFFFFF"/>
        <w:spacing w:before="225" w:after="150" w:line="240" w:lineRule="auto"/>
        <w:jc w:val="both"/>
        <w:outlineLvl w:val="0"/>
        <w:rPr>
          <w:rFonts w:ascii="Times New Roman" w:eastAsia="Times New Roman" w:hAnsi="Times New Roman" w:cs="Times New Roman"/>
          <w:b/>
          <w:bCs/>
          <w:kern w:val="36"/>
          <w:sz w:val="58"/>
          <w:szCs w:val="58"/>
          <w:lang w:eastAsia="pt-BR"/>
        </w:rPr>
      </w:pPr>
      <w:bookmarkStart w:id="0" w:name="_GoBack"/>
      <w:r w:rsidRPr="003726B7">
        <w:rPr>
          <w:rFonts w:ascii="Times New Roman" w:eastAsia="Times New Roman" w:hAnsi="Times New Roman" w:cs="Times New Roman"/>
          <w:b/>
          <w:bCs/>
          <w:kern w:val="36"/>
          <w:sz w:val="58"/>
          <w:szCs w:val="58"/>
          <w:lang w:eastAsia="pt-BR"/>
        </w:rPr>
        <w:t>Golpe Militar de 1964</w:t>
      </w:r>
    </w:p>
    <w:p w:rsidR="003726B7" w:rsidRPr="003726B7" w:rsidRDefault="003726B7" w:rsidP="003726B7">
      <w:pPr>
        <w:spacing w:after="100" w:afterAutospacing="1" w:line="240" w:lineRule="auto"/>
        <w:jc w:val="both"/>
        <w:rPr>
          <w:rFonts w:ascii="Times New Roman" w:eastAsia="Times New Roman" w:hAnsi="Times New Roman" w:cs="Times New Roman"/>
          <w:sz w:val="24"/>
          <w:szCs w:val="24"/>
          <w:lang w:eastAsia="pt-BR"/>
        </w:rPr>
      </w:pPr>
      <w:r w:rsidRPr="003726B7">
        <w:rPr>
          <w:rFonts w:ascii="Times New Roman" w:eastAsia="Times New Roman" w:hAnsi="Times New Roman" w:cs="Times New Roman"/>
          <w:sz w:val="24"/>
          <w:szCs w:val="24"/>
          <w:lang w:eastAsia="pt-BR"/>
        </w:rPr>
        <w:t>O </w:t>
      </w:r>
      <w:r w:rsidRPr="003726B7">
        <w:rPr>
          <w:rFonts w:ascii="Times New Roman" w:eastAsia="Times New Roman" w:hAnsi="Times New Roman" w:cs="Times New Roman"/>
          <w:b/>
          <w:bCs/>
          <w:sz w:val="24"/>
          <w:szCs w:val="24"/>
          <w:lang w:eastAsia="pt-BR"/>
        </w:rPr>
        <w:t>Golpe Militar de 1964</w:t>
      </w:r>
      <w:r w:rsidRPr="003726B7">
        <w:rPr>
          <w:rFonts w:ascii="Times New Roman" w:eastAsia="Times New Roman" w:hAnsi="Times New Roman" w:cs="Times New Roman"/>
          <w:sz w:val="24"/>
          <w:szCs w:val="24"/>
          <w:lang w:eastAsia="pt-BR"/>
        </w:rPr>
        <w:t> redesenhou o panorama político, social, econômico e cultural brasileiros pelas duas décadas seguintes. Executado no dia 31 de março daquele ano, o golpe levou à deposição de </w:t>
      </w:r>
      <w:r w:rsidRPr="003726B7">
        <w:rPr>
          <w:rFonts w:ascii="Times New Roman" w:eastAsia="Times New Roman" w:hAnsi="Times New Roman" w:cs="Times New Roman"/>
          <w:sz w:val="24"/>
          <w:szCs w:val="24"/>
          <w:u w:val="single"/>
          <w:lang w:eastAsia="pt-BR"/>
        </w:rPr>
        <w:t>João Goulart</w:t>
      </w:r>
      <w:r w:rsidRPr="003726B7">
        <w:rPr>
          <w:rFonts w:ascii="Times New Roman" w:eastAsia="Times New Roman" w:hAnsi="Times New Roman" w:cs="Times New Roman"/>
          <w:sz w:val="24"/>
          <w:szCs w:val="24"/>
          <w:lang w:eastAsia="pt-BR"/>
        </w:rPr>
        <w:t> e fez se instalar no país uma </w:t>
      </w:r>
      <w:r w:rsidRPr="003726B7">
        <w:rPr>
          <w:rFonts w:ascii="Times New Roman" w:eastAsia="Times New Roman" w:hAnsi="Times New Roman" w:cs="Times New Roman"/>
          <w:sz w:val="24"/>
          <w:szCs w:val="24"/>
          <w:u w:val="single"/>
          <w:lang w:eastAsia="pt-BR"/>
        </w:rPr>
        <w:t>ditadura militar</w:t>
      </w:r>
      <w:r w:rsidRPr="003726B7">
        <w:rPr>
          <w:rFonts w:ascii="Times New Roman" w:eastAsia="Times New Roman" w:hAnsi="Times New Roman" w:cs="Times New Roman"/>
          <w:sz w:val="24"/>
          <w:szCs w:val="24"/>
          <w:lang w:eastAsia="pt-BR"/>
        </w:rPr>
        <w:t> que durou até o ano de 1985.</w:t>
      </w:r>
    </w:p>
    <w:p w:rsidR="003726B7" w:rsidRPr="003726B7" w:rsidRDefault="003726B7" w:rsidP="003726B7">
      <w:pPr>
        <w:spacing w:after="100" w:afterAutospacing="1" w:line="240" w:lineRule="auto"/>
        <w:jc w:val="both"/>
        <w:rPr>
          <w:rFonts w:ascii="Times New Roman" w:eastAsia="Times New Roman" w:hAnsi="Times New Roman" w:cs="Times New Roman"/>
          <w:sz w:val="24"/>
          <w:szCs w:val="24"/>
          <w:lang w:eastAsia="pt-BR"/>
        </w:rPr>
      </w:pPr>
      <w:r w:rsidRPr="003726B7">
        <w:rPr>
          <w:rFonts w:ascii="Times New Roman" w:eastAsia="Times New Roman" w:hAnsi="Times New Roman" w:cs="Times New Roman"/>
          <w:sz w:val="24"/>
          <w:szCs w:val="24"/>
          <w:lang w:eastAsia="pt-BR"/>
        </w:rPr>
        <w:t>Apesar de ter ocorrido no ano de 1964, o golpe passou a ser desenhado desde as primeiras medidas de João Goulart, conhecido como Jango. O cenário de sua posse em 07 de setembro de 1961 já era conturbado: desestabilidade política, inflação, esgotamento do ciclo de investimentos do </w:t>
      </w:r>
      <w:r w:rsidRPr="003726B7">
        <w:rPr>
          <w:rFonts w:ascii="Times New Roman" w:eastAsia="Times New Roman" w:hAnsi="Times New Roman" w:cs="Times New Roman"/>
          <w:sz w:val="24"/>
          <w:szCs w:val="24"/>
          <w:u w:val="single"/>
          <w:lang w:eastAsia="pt-BR"/>
        </w:rPr>
        <w:t>governo Juscelino Kubitschek</w:t>
      </w:r>
      <w:r w:rsidRPr="003726B7">
        <w:rPr>
          <w:rFonts w:ascii="Times New Roman" w:eastAsia="Times New Roman" w:hAnsi="Times New Roman" w:cs="Times New Roman"/>
          <w:sz w:val="24"/>
          <w:szCs w:val="24"/>
          <w:lang w:eastAsia="pt-BR"/>
        </w:rPr>
        <w:t>, grande </w:t>
      </w:r>
      <w:r w:rsidRPr="003726B7">
        <w:rPr>
          <w:rFonts w:ascii="Times New Roman" w:eastAsia="Times New Roman" w:hAnsi="Times New Roman" w:cs="Times New Roman"/>
          <w:sz w:val="24"/>
          <w:szCs w:val="24"/>
          <w:u w:val="single"/>
          <w:lang w:eastAsia="pt-BR"/>
        </w:rPr>
        <w:t>desigualdade social</w:t>
      </w:r>
      <w:r w:rsidRPr="003726B7">
        <w:rPr>
          <w:rFonts w:ascii="Times New Roman" w:eastAsia="Times New Roman" w:hAnsi="Times New Roman" w:cs="Times New Roman"/>
          <w:sz w:val="24"/>
          <w:szCs w:val="24"/>
          <w:lang w:eastAsia="pt-BR"/>
        </w:rPr>
        <w:t> e intensas movimentações em torno da questão agrária. Diante desse cenário e de acordo com suas tendências políticas, declaradamente de </w:t>
      </w:r>
      <w:r w:rsidRPr="003726B7">
        <w:rPr>
          <w:rFonts w:ascii="Times New Roman" w:eastAsia="Times New Roman" w:hAnsi="Times New Roman" w:cs="Times New Roman"/>
          <w:sz w:val="24"/>
          <w:szCs w:val="24"/>
          <w:u w:val="single"/>
          <w:lang w:eastAsia="pt-BR"/>
        </w:rPr>
        <w:t>esquerda</w:t>
      </w:r>
      <w:r w:rsidRPr="003726B7">
        <w:rPr>
          <w:rFonts w:ascii="Times New Roman" w:eastAsia="Times New Roman" w:hAnsi="Times New Roman" w:cs="Times New Roman"/>
          <w:sz w:val="24"/>
          <w:szCs w:val="24"/>
          <w:lang w:eastAsia="pt-BR"/>
        </w:rPr>
        <w:t>, Jango apostou nas </w:t>
      </w:r>
      <w:r w:rsidRPr="003726B7">
        <w:rPr>
          <w:rFonts w:ascii="Times New Roman" w:eastAsia="Times New Roman" w:hAnsi="Times New Roman" w:cs="Times New Roman"/>
          <w:sz w:val="24"/>
          <w:szCs w:val="24"/>
          <w:u w:val="single"/>
          <w:lang w:eastAsia="pt-BR"/>
        </w:rPr>
        <w:t>Reformas de Base</w:t>
      </w:r>
      <w:r w:rsidRPr="003726B7">
        <w:rPr>
          <w:rFonts w:ascii="Times New Roman" w:eastAsia="Times New Roman" w:hAnsi="Times New Roman" w:cs="Times New Roman"/>
          <w:sz w:val="24"/>
          <w:szCs w:val="24"/>
          <w:lang w:eastAsia="pt-BR"/>
        </w:rPr>
        <w:t> para enfrentar os desafios lançados a seu governo.</w:t>
      </w:r>
    </w:p>
    <w:p w:rsidR="003726B7" w:rsidRPr="003726B7" w:rsidRDefault="003726B7" w:rsidP="003726B7">
      <w:pPr>
        <w:spacing w:after="100" w:afterAutospacing="1" w:line="240" w:lineRule="auto"/>
        <w:jc w:val="both"/>
        <w:rPr>
          <w:rFonts w:ascii="Times New Roman" w:eastAsia="Times New Roman" w:hAnsi="Times New Roman" w:cs="Times New Roman"/>
          <w:sz w:val="24"/>
          <w:szCs w:val="24"/>
          <w:lang w:eastAsia="pt-BR"/>
        </w:rPr>
      </w:pPr>
      <w:r w:rsidRPr="003726B7">
        <w:rPr>
          <w:rFonts w:ascii="Times New Roman" w:eastAsia="Times New Roman" w:hAnsi="Times New Roman" w:cs="Times New Roman"/>
          <w:sz w:val="24"/>
          <w:szCs w:val="24"/>
          <w:lang w:eastAsia="pt-BR"/>
        </w:rPr>
        <w:t>As Reformas de Base propunham diversas reformas: urbana, bancária, eleitoral, universitária e do estatuto do capital estrangeiro. Dentre elas, três incomodavam de forma especial à direita. A reforma eleitoral colocaria novamente no jogo político o Partido Comunista e permitiria que analfabetos votassem, o que correspondia a 60% da população brasileira. Essas medidas poderiam provocar grandes mudanças no equilíbrio dos partidos políticos dominantes naquele contexto. A reforma do estatuto do capital estrangeiro também provocou polêmica ao propor nova regulamentação para a remessa de lucros para fora do Brasil e propunha a estatização da indústria estratégica. Mas nenhuma delas foi alvo de tantas especulações e mitos quanto a proposta de implementação da </w:t>
      </w:r>
      <w:r w:rsidRPr="003726B7">
        <w:rPr>
          <w:rFonts w:ascii="Times New Roman" w:eastAsia="Times New Roman" w:hAnsi="Times New Roman" w:cs="Times New Roman"/>
          <w:sz w:val="24"/>
          <w:szCs w:val="24"/>
          <w:u w:val="single"/>
          <w:lang w:eastAsia="pt-BR"/>
        </w:rPr>
        <w:t>reforma agrária</w:t>
      </w:r>
      <w:r w:rsidRPr="003726B7">
        <w:rPr>
          <w:rFonts w:ascii="Times New Roman" w:eastAsia="Times New Roman" w:hAnsi="Times New Roman" w:cs="Times New Roman"/>
          <w:sz w:val="24"/>
          <w:szCs w:val="24"/>
          <w:lang w:eastAsia="pt-BR"/>
        </w:rPr>
        <w:t>. Essa reforma mexeria com a histórica estrutura </w:t>
      </w:r>
      <w:r w:rsidRPr="003726B7">
        <w:rPr>
          <w:rFonts w:ascii="Times New Roman" w:eastAsia="Times New Roman" w:hAnsi="Times New Roman" w:cs="Times New Roman"/>
          <w:sz w:val="24"/>
          <w:szCs w:val="24"/>
          <w:u w:val="single"/>
          <w:lang w:eastAsia="pt-BR"/>
        </w:rPr>
        <w:t>latifundiária</w:t>
      </w:r>
      <w:r w:rsidRPr="003726B7">
        <w:rPr>
          <w:rFonts w:ascii="Times New Roman" w:eastAsia="Times New Roman" w:hAnsi="Times New Roman" w:cs="Times New Roman"/>
          <w:sz w:val="24"/>
          <w:szCs w:val="24"/>
          <w:lang w:eastAsia="pt-BR"/>
        </w:rPr>
        <w:t> brasileira que, em muitos casos, remontavam aos séculos de colonização.</w:t>
      </w:r>
    </w:p>
    <w:p w:rsidR="003726B7" w:rsidRPr="003726B7" w:rsidRDefault="003726B7" w:rsidP="003726B7">
      <w:pPr>
        <w:spacing w:after="100" w:afterAutospacing="1" w:line="240" w:lineRule="auto"/>
        <w:jc w:val="both"/>
        <w:rPr>
          <w:rFonts w:ascii="Times New Roman" w:eastAsia="Times New Roman" w:hAnsi="Times New Roman" w:cs="Times New Roman"/>
          <w:sz w:val="24"/>
          <w:szCs w:val="24"/>
          <w:lang w:eastAsia="pt-BR"/>
        </w:rPr>
      </w:pPr>
      <w:r w:rsidRPr="003726B7">
        <w:rPr>
          <w:rFonts w:ascii="Times New Roman" w:eastAsia="Times New Roman" w:hAnsi="Times New Roman" w:cs="Times New Roman"/>
          <w:sz w:val="24"/>
          <w:szCs w:val="24"/>
          <w:lang w:eastAsia="pt-BR"/>
        </w:rPr>
        <w:t>Para os grupos economicamente hegemônicos, tais propostas eram alarmantes não apenas por serem defendidas pelo Presidente da República, mas porque naquele momento a esquerda encontrava-se unida e organizada, movimentando-se em todo o território nacional e mostrando sua cara e seus objetivos em passeatas, publicações e através de forte presença no meio político. Longe do imaginário do século XIX, a esquerda daquele momento era formada por uma grande diversidade de grupos, tais como comunistas, católicos, militares de diferentes ordens, estudantes, sindicalistas entre outros. Todos eles voltados para a aprovação das Reformas de Base e estendendo suas influências por diversos campos da vida pública.</w:t>
      </w:r>
    </w:p>
    <w:p w:rsidR="003726B7" w:rsidRPr="003726B7" w:rsidRDefault="003726B7" w:rsidP="003726B7">
      <w:pPr>
        <w:spacing w:after="100" w:afterAutospacing="1" w:line="240" w:lineRule="auto"/>
        <w:jc w:val="both"/>
        <w:rPr>
          <w:rFonts w:ascii="Times New Roman" w:eastAsia="Times New Roman" w:hAnsi="Times New Roman" w:cs="Times New Roman"/>
          <w:sz w:val="24"/>
          <w:szCs w:val="24"/>
          <w:lang w:eastAsia="pt-BR"/>
        </w:rPr>
      </w:pPr>
      <w:r w:rsidRPr="003726B7">
        <w:rPr>
          <w:rFonts w:ascii="Times New Roman" w:eastAsia="Times New Roman" w:hAnsi="Times New Roman" w:cs="Times New Roman"/>
          <w:sz w:val="24"/>
          <w:szCs w:val="24"/>
          <w:lang w:eastAsia="pt-BR"/>
        </w:rPr>
        <w:t>Diante desse abismo entre os grupos de direita e de esquerda durante o Governo de Jango, o golpe começou a ser elaborado pelos grupos conservadores e pelas Forças Armadas em diálogo com os EUA (Estados Unidos da América) através da CIA (</w:t>
      </w:r>
      <w:r w:rsidRPr="003726B7">
        <w:rPr>
          <w:rFonts w:ascii="Times New Roman" w:eastAsia="Times New Roman" w:hAnsi="Times New Roman" w:cs="Times New Roman"/>
          <w:i/>
          <w:iCs/>
          <w:sz w:val="24"/>
          <w:szCs w:val="24"/>
          <w:lang w:eastAsia="pt-BR"/>
        </w:rPr>
        <w:t xml:space="preserve">Central </w:t>
      </w:r>
      <w:proofErr w:type="spellStart"/>
      <w:r w:rsidRPr="003726B7">
        <w:rPr>
          <w:rFonts w:ascii="Times New Roman" w:eastAsia="Times New Roman" w:hAnsi="Times New Roman" w:cs="Times New Roman"/>
          <w:i/>
          <w:iCs/>
          <w:sz w:val="24"/>
          <w:szCs w:val="24"/>
          <w:lang w:eastAsia="pt-BR"/>
        </w:rPr>
        <w:t>Intelligence</w:t>
      </w:r>
      <w:proofErr w:type="spellEnd"/>
      <w:r w:rsidRPr="003726B7">
        <w:rPr>
          <w:rFonts w:ascii="Times New Roman" w:eastAsia="Times New Roman" w:hAnsi="Times New Roman" w:cs="Times New Roman"/>
          <w:i/>
          <w:iCs/>
          <w:sz w:val="24"/>
          <w:szCs w:val="24"/>
          <w:lang w:eastAsia="pt-BR"/>
        </w:rPr>
        <w:t xml:space="preserve"> </w:t>
      </w:r>
      <w:proofErr w:type="spellStart"/>
      <w:r w:rsidRPr="003726B7">
        <w:rPr>
          <w:rFonts w:ascii="Times New Roman" w:eastAsia="Times New Roman" w:hAnsi="Times New Roman" w:cs="Times New Roman"/>
          <w:i/>
          <w:iCs/>
          <w:sz w:val="24"/>
          <w:szCs w:val="24"/>
          <w:lang w:eastAsia="pt-BR"/>
        </w:rPr>
        <w:t>Agency</w:t>
      </w:r>
      <w:proofErr w:type="spellEnd"/>
      <w:r w:rsidRPr="003726B7">
        <w:rPr>
          <w:rFonts w:ascii="Times New Roman" w:eastAsia="Times New Roman" w:hAnsi="Times New Roman" w:cs="Times New Roman"/>
          <w:sz w:val="24"/>
          <w:szCs w:val="24"/>
          <w:lang w:eastAsia="pt-BR"/>
        </w:rPr>
        <w:t>) pensando nas eleições de 1962 para o Congresso Nacional e para o governo dos estados da União. A composição que assumiria no ano seguinte seria de vital importância para os avanços das propostas da esquerda e, por isso, interessados na queda de Jango financiaram de forma ilegal campanhas de candidatos de oposição ao governo. Esse financiamento foi realizado pelo empresariado nacional e estrangeiro através do IBAD (Instituto Brasileiro da Ação Democrática). Os EUA também investiram nessa campanha através de fontes governamentais, como provam documentos e áudios da Casa Branca. Nesse contexto o diplomata Lincoln Gordon participou ativamente da conspiração, trabalhando juntamente ao IBAD e ao IPES (Instituto de Pesquisa e Estudos Sociais), responsáveis por diversas propagandas anticomunistas que contribuíram para a desestabilização de um governo que já enfrentava diversos desafios.</w:t>
      </w:r>
    </w:p>
    <w:p w:rsidR="003726B7" w:rsidRPr="003726B7" w:rsidRDefault="003726B7" w:rsidP="003726B7">
      <w:pPr>
        <w:spacing w:after="100" w:afterAutospacing="1" w:line="240" w:lineRule="auto"/>
        <w:jc w:val="both"/>
        <w:rPr>
          <w:rFonts w:ascii="Times New Roman" w:eastAsia="Times New Roman" w:hAnsi="Times New Roman" w:cs="Times New Roman"/>
          <w:sz w:val="24"/>
          <w:szCs w:val="24"/>
          <w:lang w:eastAsia="pt-BR"/>
        </w:rPr>
      </w:pPr>
      <w:r w:rsidRPr="003726B7">
        <w:rPr>
          <w:rFonts w:ascii="Times New Roman" w:eastAsia="Times New Roman" w:hAnsi="Times New Roman" w:cs="Times New Roman"/>
          <w:sz w:val="24"/>
          <w:szCs w:val="24"/>
          <w:lang w:eastAsia="pt-BR"/>
        </w:rPr>
        <w:t>Em 1963, a votação favorável ao retorno do </w:t>
      </w:r>
      <w:r w:rsidRPr="003726B7">
        <w:rPr>
          <w:rFonts w:ascii="Times New Roman" w:eastAsia="Times New Roman" w:hAnsi="Times New Roman" w:cs="Times New Roman"/>
          <w:sz w:val="24"/>
          <w:szCs w:val="24"/>
          <w:u w:val="single"/>
          <w:lang w:eastAsia="pt-BR"/>
        </w:rPr>
        <w:t>presidencialismo</w:t>
      </w:r>
      <w:r w:rsidRPr="003726B7">
        <w:rPr>
          <w:rFonts w:ascii="Times New Roman" w:eastAsia="Times New Roman" w:hAnsi="Times New Roman" w:cs="Times New Roman"/>
          <w:sz w:val="24"/>
          <w:szCs w:val="24"/>
          <w:lang w:eastAsia="pt-BR"/>
        </w:rPr>
        <w:t xml:space="preserve"> deu novos ânimos ao governo de Jango que, apesar das ações contrárias, ainda se mostrava com grande popularidade. Mesmo assim, o ano de 1963 foi marcado por intensa atuação da direita e da esquerda e esse embate começou a ser favorável </w:t>
      </w:r>
      <w:proofErr w:type="spellStart"/>
      <w:r w:rsidRPr="003726B7">
        <w:rPr>
          <w:rFonts w:ascii="Times New Roman" w:eastAsia="Times New Roman" w:hAnsi="Times New Roman" w:cs="Times New Roman"/>
          <w:sz w:val="24"/>
          <w:szCs w:val="24"/>
          <w:lang w:eastAsia="pt-BR"/>
        </w:rPr>
        <w:t>a</w:t>
      </w:r>
      <w:proofErr w:type="spellEnd"/>
      <w:r w:rsidRPr="003726B7">
        <w:rPr>
          <w:rFonts w:ascii="Times New Roman" w:eastAsia="Times New Roman" w:hAnsi="Times New Roman" w:cs="Times New Roman"/>
          <w:sz w:val="24"/>
          <w:szCs w:val="24"/>
          <w:lang w:eastAsia="pt-BR"/>
        </w:rPr>
        <w:t xml:space="preserve"> direita a partir da derrota da emenda constitucional que buscava viabilizar a reforma agrária. Outro fato que abalou Brasília em 1963 foi a Rebelião dos Sargentos na qual sargentos da Aeronáutica e da Marinha invadiram o Supremo Tribunal Federal em protesto contra a declaração de inelegibilidade dos sargentos eleitos em 1962.</w:t>
      </w:r>
    </w:p>
    <w:p w:rsidR="003726B7" w:rsidRPr="003726B7" w:rsidRDefault="003726B7" w:rsidP="003726B7">
      <w:pPr>
        <w:spacing w:after="100" w:afterAutospacing="1" w:line="240" w:lineRule="auto"/>
        <w:jc w:val="both"/>
        <w:rPr>
          <w:rFonts w:ascii="Times New Roman" w:eastAsia="Times New Roman" w:hAnsi="Times New Roman" w:cs="Times New Roman"/>
          <w:sz w:val="24"/>
          <w:szCs w:val="24"/>
          <w:lang w:eastAsia="pt-BR"/>
        </w:rPr>
      </w:pPr>
      <w:r w:rsidRPr="003726B7">
        <w:rPr>
          <w:rFonts w:ascii="Times New Roman" w:eastAsia="Times New Roman" w:hAnsi="Times New Roman" w:cs="Times New Roman"/>
          <w:sz w:val="24"/>
          <w:szCs w:val="24"/>
          <w:lang w:eastAsia="pt-BR"/>
        </w:rPr>
        <w:t>O cenário ficou ainda mais conturbado após a entrevista concedida por </w:t>
      </w:r>
      <w:r w:rsidRPr="003726B7">
        <w:rPr>
          <w:rFonts w:ascii="Times New Roman" w:eastAsia="Times New Roman" w:hAnsi="Times New Roman" w:cs="Times New Roman"/>
          <w:sz w:val="24"/>
          <w:szCs w:val="24"/>
          <w:u w:val="single"/>
          <w:lang w:eastAsia="pt-BR"/>
        </w:rPr>
        <w:t>Carlos Lacerda</w:t>
      </w:r>
      <w:r w:rsidRPr="003726B7">
        <w:rPr>
          <w:rFonts w:ascii="Times New Roman" w:eastAsia="Times New Roman" w:hAnsi="Times New Roman" w:cs="Times New Roman"/>
          <w:sz w:val="24"/>
          <w:szCs w:val="24"/>
          <w:lang w:eastAsia="pt-BR"/>
        </w:rPr>
        <w:t xml:space="preserve"> a um jornal norte-americano, no qual declarou que o cenário político brasileiro sob o governo de Jango era de incertezas, ato </w:t>
      </w:r>
      <w:r w:rsidRPr="003726B7">
        <w:rPr>
          <w:rFonts w:ascii="Times New Roman" w:eastAsia="Times New Roman" w:hAnsi="Times New Roman" w:cs="Times New Roman"/>
          <w:sz w:val="24"/>
          <w:szCs w:val="24"/>
          <w:lang w:eastAsia="pt-BR"/>
        </w:rPr>
        <w:lastRenderedPageBreak/>
        <w:t>que foi visto com maus olhos pelo presidente e o levou a solicitar ao Congresso a instalação do estado de sítio. Sua atitude foi vista de forma negativa pelos governadores dos estados que lhe recusaram apoio. Uma nova coligação entre PTB, </w:t>
      </w:r>
      <w:r w:rsidRPr="003726B7">
        <w:rPr>
          <w:rFonts w:ascii="Times New Roman" w:eastAsia="Times New Roman" w:hAnsi="Times New Roman" w:cs="Times New Roman"/>
          <w:sz w:val="24"/>
          <w:szCs w:val="24"/>
          <w:u w:val="single"/>
          <w:lang w:eastAsia="pt-BR"/>
        </w:rPr>
        <w:t>UDN</w:t>
      </w:r>
      <w:r w:rsidRPr="003726B7">
        <w:rPr>
          <w:rFonts w:ascii="Times New Roman" w:eastAsia="Times New Roman" w:hAnsi="Times New Roman" w:cs="Times New Roman"/>
          <w:sz w:val="24"/>
          <w:szCs w:val="24"/>
          <w:lang w:eastAsia="pt-BR"/>
        </w:rPr>
        <w:t> e PSD mostrou ter a mesma posição, o estado de sítio não seria aprovado pelo Congresso. Desse embate, Jango saiu com seu poder abalado.</w:t>
      </w:r>
    </w:p>
    <w:p w:rsidR="003726B7" w:rsidRPr="003726B7" w:rsidRDefault="003726B7" w:rsidP="003726B7">
      <w:pPr>
        <w:spacing w:after="100" w:afterAutospacing="1" w:line="240" w:lineRule="auto"/>
        <w:jc w:val="both"/>
        <w:rPr>
          <w:rFonts w:ascii="Times New Roman" w:eastAsia="Times New Roman" w:hAnsi="Times New Roman" w:cs="Times New Roman"/>
          <w:sz w:val="24"/>
          <w:szCs w:val="24"/>
          <w:lang w:eastAsia="pt-BR"/>
        </w:rPr>
      </w:pPr>
      <w:r w:rsidRPr="003726B7">
        <w:rPr>
          <w:rFonts w:ascii="Times New Roman" w:eastAsia="Times New Roman" w:hAnsi="Times New Roman" w:cs="Times New Roman"/>
          <w:sz w:val="24"/>
          <w:szCs w:val="24"/>
          <w:lang w:eastAsia="pt-BR"/>
        </w:rPr>
        <w:t>Com </w:t>
      </w:r>
      <w:r w:rsidRPr="003726B7">
        <w:rPr>
          <w:rFonts w:ascii="Times New Roman" w:eastAsia="Times New Roman" w:hAnsi="Times New Roman" w:cs="Times New Roman"/>
          <w:sz w:val="24"/>
          <w:szCs w:val="24"/>
          <w:u w:val="single"/>
          <w:lang w:eastAsia="pt-BR"/>
        </w:rPr>
        <w:t>inflação</w:t>
      </w:r>
      <w:r w:rsidRPr="003726B7">
        <w:rPr>
          <w:rFonts w:ascii="Times New Roman" w:eastAsia="Times New Roman" w:hAnsi="Times New Roman" w:cs="Times New Roman"/>
          <w:sz w:val="24"/>
          <w:szCs w:val="24"/>
          <w:lang w:eastAsia="pt-BR"/>
        </w:rPr>
        <w:t> anual na casa de 79,9%, um crescimento econômico tímido (1,5%) o Brasil passou a sofrer restrições dos credores internacionais. Nesse contexto, os EUA passaram a financiar o golpe através dos governos dos estados de São Paulo, Guanabara (atual Rio de Janeiro) e Minas Gerais. Frente às pressões sofridas nos meses que se seguiram, Jango articulou o Comício da Central do Brasil. Ocorrido em uma sexta-feira, 13 de março de 1964, o evento esteve cercado de simbologias que o ligavam a figura de </w:t>
      </w:r>
      <w:r w:rsidRPr="003726B7">
        <w:rPr>
          <w:rFonts w:ascii="Times New Roman" w:eastAsia="Times New Roman" w:hAnsi="Times New Roman" w:cs="Times New Roman"/>
          <w:sz w:val="24"/>
          <w:szCs w:val="24"/>
          <w:u w:val="single"/>
          <w:lang w:eastAsia="pt-BR"/>
        </w:rPr>
        <w:t>Getúlio Vargas</w:t>
      </w:r>
      <w:r w:rsidRPr="003726B7">
        <w:rPr>
          <w:rFonts w:ascii="Times New Roman" w:eastAsia="Times New Roman" w:hAnsi="Times New Roman" w:cs="Times New Roman"/>
          <w:sz w:val="24"/>
          <w:szCs w:val="24"/>
          <w:lang w:eastAsia="pt-BR"/>
        </w:rPr>
        <w:t> e mobilizou entre 150 e 200 mil pessoas por mais de 4 horas de duração. Como havia se comprometido em seu discurso, Jango encaminhou ao Congresso o pedido de convocação de um </w:t>
      </w:r>
      <w:r w:rsidRPr="003726B7">
        <w:rPr>
          <w:rFonts w:ascii="Times New Roman" w:eastAsia="Times New Roman" w:hAnsi="Times New Roman" w:cs="Times New Roman"/>
          <w:sz w:val="24"/>
          <w:szCs w:val="24"/>
          <w:u w:val="single"/>
          <w:lang w:eastAsia="pt-BR"/>
        </w:rPr>
        <w:t>plebiscito</w:t>
      </w:r>
      <w:r w:rsidRPr="003726B7">
        <w:rPr>
          <w:rFonts w:ascii="Times New Roman" w:eastAsia="Times New Roman" w:hAnsi="Times New Roman" w:cs="Times New Roman"/>
          <w:sz w:val="24"/>
          <w:szCs w:val="24"/>
          <w:lang w:eastAsia="pt-BR"/>
        </w:rPr>
        <w:t> para a aprovação das reformas sugeridas e a delegação de prerrogativas do </w:t>
      </w:r>
      <w:r w:rsidRPr="003726B7">
        <w:rPr>
          <w:rFonts w:ascii="Times New Roman" w:eastAsia="Times New Roman" w:hAnsi="Times New Roman" w:cs="Times New Roman"/>
          <w:sz w:val="24"/>
          <w:szCs w:val="24"/>
          <w:u w:val="single"/>
          <w:lang w:eastAsia="pt-BR"/>
        </w:rPr>
        <w:t>Legislativo</w:t>
      </w:r>
      <w:r w:rsidRPr="003726B7">
        <w:rPr>
          <w:rFonts w:ascii="Times New Roman" w:eastAsia="Times New Roman" w:hAnsi="Times New Roman" w:cs="Times New Roman"/>
          <w:sz w:val="24"/>
          <w:szCs w:val="24"/>
          <w:lang w:eastAsia="pt-BR"/>
        </w:rPr>
        <w:t> para o </w:t>
      </w:r>
      <w:r w:rsidRPr="003726B7">
        <w:rPr>
          <w:rFonts w:ascii="Times New Roman" w:eastAsia="Times New Roman" w:hAnsi="Times New Roman" w:cs="Times New Roman"/>
          <w:sz w:val="24"/>
          <w:szCs w:val="24"/>
          <w:u w:val="single"/>
          <w:lang w:eastAsia="pt-BR"/>
        </w:rPr>
        <w:t>Executivo</w:t>
      </w:r>
      <w:r w:rsidRPr="003726B7">
        <w:rPr>
          <w:rFonts w:ascii="Times New Roman" w:eastAsia="Times New Roman" w:hAnsi="Times New Roman" w:cs="Times New Roman"/>
          <w:sz w:val="24"/>
          <w:szCs w:val="24"/>
          <w:lang w:eastAsia="pt-BR"/>
        </w:rPr>
        <w:t>, o que foi visto como uma tentativa de centralização do poder nas mãos do presidente.</w:t>
      </w:r>
    </w:p>
    <w:p w:rsidR="003726B7" w:rsidRPr="003726B7" w:rsidRDefault="003726B7" w:rsidP="003726B7">
      <w:pPr>
        <w:spacing w:after="100" w:afterAutospacing="1" w:line="240" w:lineRule="auto"/>
        <w:jc w:val="both"/>
        <w:rPr>
          <w:rFonts w:ascii="Times New Roman" w:eastAsia="Times New Roman" w:hAnsi="Times New Roman" w:cs="Times New Roman"/>
          <w:sz w:val="24"/>
          <w:szCs w:val="24"/>
          <w:lang w:eastAsia="pt-BR"/>
        </w:rPr>
      </w:pPr>
      <w:r w:rsidRPr="003726B7">
        <w:rPr>
          <w:rFonts w:ascii="Times New Roman" w:eastAsia="Times New Roman" w:hAnsi="Times New Roman" w:cs="Times New Roman"/>
          <w:sz w:val="24"/>
          <w:szCs w:val="24"/>
          <w:lang w:eastAsia="pt-BR"/>
        </w:rPr>
        <w:t>Em reação às ações de Jango, o Congresso passou a suspeitar de suas intenções e essa posição repercutiu nos meios de comunicação em um tom que indicava que o presidente poderia a qualquer momento dissolver o Congresso para colocar em prática as reformas na base da força. A partir desse clima de desconfianças e alardes, foi organizada a </w:t>
      </w:r>
      <w:r w:rsidRPr="003726B7">
        <w:rPr>
          <w:rFonts w:ascii="Times New Roman" w:eastAsia="Times New Roman" w:hAnsi="Times New Roman" w:cs="Times New Roman"/>
          <w:sz w:val="24"/>
          <w:szCs w:val="24"/>
          <w:u w:val="single"/>
          <w:lang w:eastAsia="pt-BR"/>
        </w:rPr>
        <w:t>Marcha da Família com Deus pela Liberdade</w:t>
      </w:r>
      <w:r w:rsidRPr="003726B7">
        <w:rPr>
          <w:rFonts w:ascii="Times New Roman" w:eastAsia="Times New Roman" w:hAnsi="Times New Roman" w:cs="Times New Roman"/>
          <w:sz w:val="24"/>
          <w:szCs w:val="24"/>
          <w:lang w:eastAsia="pt-BR"/>
        </w:rPr>
        <w:t>, preparada pelo IPES sob a figura da União Cívica Feminina com o apoio de setores de direita. A Marcha reuniu cerca de 500 mil pessoas na Praça da República, na capital paulista, em protesto contra o governo de Jango e suas pretensões, classificadas como comunistas. Sendo um movimento prioritariamente de classe média, a Marcha foi menosprezada pela esquerda, mas demonstrou seu poder em converter a opinião pública a respeito de João Goulart em diversas capitais, alastrando-se pelos estados com a contribuição dos meios de comunicação.</w:t>
      </w:r>
    </w:p>
    <w:p w:rsidR="003726B7" w:rsidRPr="003726B7" w:rsidRDefault="003726B7" w:rsidP="003726B7">
      <w:pPr>
        <w:spacing w:after="100" w:afterAutospacing="1" w:line="240" w:lineRule="auto"/>
        <w:jc w:val="both"/>
        <w:rPr>
          <w:rFonts w:ascii="Times New Roman" w:eastAsia="Times New Roman" w:hAnsi="Times New Roman" w:cs="Times New Roman"/>
          <w:sz w:val="24"/>
          <w:szCs w:val="24"/>
          <w:lang w:eastAsia="pt-BR"/>
        </w:rPr>
      </w:pPr>
      <w:r w:rsidRPr="003726B7">
        <w:rPr>
          <w:rFonts w:ascii="Times New Roman" w:eastAsia="Times New Roman" w:hAnsi="Times New Roman" w:cs="Times New Roman"/>
          <w:sz w:val="24"/>
          <w:szCs w:val="24"/>
          <w:lang w:eastAsia="pt-BR"/>
        </w:rPr>
        <w:t>Ainda faltava a unificação das forças militares em favor do golpe, o que foi provocado pelas atitudes tomadas por Jango em relação aos marinheiros que participaram da Revolta dos Marinheiros, realizada em 25 de março. Ao anistiar os revoltosos e passar por cima das autoridades militares responsáveis, Jango deu o último elemento necessário à realização do golpe de 1964: o apoio das Forças Armadas. Os EUA já estavam a postos para colocar em prática a </w:t>
      </w:r>
      <w:r w:rsidRPr="003726B7">
        <w:rPr>
          <w:rFonts w:ascii="Times New Roman" w:eastAsia="Times New Roman" w:hAnsi="Times New Roman" w:cs="Times New Roman"/>
          <w:sz w:val="24"/>
          <w:szCs w:val="24"/>
          <w:u w:val="single"/>
          <w:lang w:eastAsia="pt-BR"/>
        </w:rPr>
        <w:t>Operação Brother Sam</w:t>
      </w:r>
      <w:r w:rsidRPr="003726B7">
        <w:rPr>
          <w:rFonts w:ascii="Times New Roman" w:eastAsia="Times New Roman" w:hAnsi="Times New Roman" w:cs="Times New Roman"/>
          <w:sz w:val="24"/>
          <w:szCs w:val="24"/>
          <w:lang w:eastAsia="pt-BR"/>
        </w:rPr>
        <w:t> e, em 31 de março de 1964, o pontapé foi dado pelos mineiros, sob a liderança do general Olympio Mourão Filho, que marchou com suas tropas de Juiz de Fora para o Rio de Janeiro e iniciou o processo de deposição do presidente João Goulart com o apoio dos EUA e das Forças Armadas. O Golpe foi concluído na madrugada de 02 de abril de 1964, quando o Congresso, em sessão secreta realizada de madrugada, declarou a Presidência da República vaga.</w:t>
      </w:r>
    </w:p>
    <w:bookmarkEnd w:id="0"/>
    <w:p w:rsidR="00062742" w:rsidRPr="003726B7" w:rsidRDefault="00062742" w:rsidP="003726B7">
      <w:pPr>
        <w:jc w:val="both"/>
        <w:rPr>
          <w:rFonts w:ascii="Times New Roman" w:hAnsi="Times New Roman" w:cs="Times New Roman"/>
        </w:rPr>
      </w:pPr>
    </w:p>
    <w:sectPr w:rsidR="00062742" w:rsidRPr="003726B7" w:rsidSect="003726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6B7"/>
    <w:rsid w:val="00062742"/>
    <w:rsid w:val="003726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29F0D"/>
  <w15:chartTrackingRefBased/>
  <w15:docId w15:val="{4B856FFA-77C9-4252-B5DD-3A669606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3726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726B7"/>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3726B7"/>
    <w:rPr>
      <w:color w:val="0000FF"/>
      <w:u w:val="single"/>
    </w:rPr>
  </w:style>
  <w:style w:type="paragraph" w:styleId="NormalWeb">
    <w:name w:val="Normal (Web)"/>
    <w:basedOn w:val="Normal"/>
    <w:uiPriority w:val="99"/>
    <w:semiHidden/>
    <w:unhideWhenUsed/>
    <w:rsid w:val="003726B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creen-reader-text">
    <w:name w:val="screen-reader-text"/>
    <w:basedOn w:val="Fontepargpadro"/>
    <w:rsid w:val="003726B7"/>
  </w:style>
  <w:style w:type="character" w:customStyle="1" w:styleId="screen-reader-text-btn">
    <w:name w:val="screen-reader-text-btn"/>
    <w:basedOn w:val="Fontepargpadro"/>
    <w:rsid w:val="003726B7"/>
  </w:style>
  <w:style w:type="character" w:styleId="Forte">
    <w:name w:val="Strong"/>
    <w:basedOn w:val="Fontepargpadro"/>
    <w:uiPriority w:val="22"/>
    <w:qFormat/>
    <w:rsid w:val="003726B7"/>
    <w:rPr>
      <w:b/>
      <w:bCs/>
    </w:rPr>
  </w:style>
  <w:style w:type="character" w:styleId="nfase">
    <w:name w:val="Emphasis"/>
    <w:basedOn w:val="Fontepargpadro"/>
    <w:uiPriority w:val="20"/>
    <w:qFormat/>
    <w:rsid w:val="003726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155316">
      <w:bodyDiv w:val="1"/>
      <w:marLeft w:val="0"/>
      <w:marRight w:val="0"/>
      <w:marTop w:val="0"/>
      <w:marBottom w:val="0"/>
      <w:divBdr>
        <w:top w:val="none" w:sz="0" w:space="0" w:color="auto"/>
        <w:left w:val="none" w:sz="0" w:space="0" w:color="auto"/>
        <w:bottom w:val="none" w:sz="0" w:space="0" w:color="auto"/>
        <w:right w:val="none" w:sz="0" w:space="0" w:color="auto"/>
      </w:divBdr>
      <w:divsChild>
        <w:div w:id="775445599">
          <w:marLeft w:val="0"/>
          <w:marRight w:val="0"/>
          <w:marTop w:val="0"/>
          <w:marBottom w:val="150"/>
          <w:divBdr>
            <w:top w:val="none" w:sz="0" w:space="0" w:color="auto"/>
            <w:left w:val="none" w:sz="0" w:space="0" w:color="auto"/>
            <w:bottom w:val="none" w:sz="0" w:space="0" w:color="auto"/>
            <w:right w:val="none" w:sz="0" w:space="0" w:color="auto"/>
          </w:divBdr>
          <w:divsChild>
            <w:div w:id="2101442553">
              <w:marLeft w:val="0"/>
              <w:marRight w:val="0"/>
              <w:marTop w:val="150"/>
              <w:marBottom w:val="150"/>
              <w:divBdr>
                <w:top w:val="none" w:sz="0" w:space="0" w:color="auto"/>
                <w:left w:val="none" w:sz="0" w:space="0" w:color="auto"/>
                <w:bottom w:val="none" w:sz="0" w:space="0" w:color="auto"/>
                <w:right w:val="none" w:sz="0" w:space="0" w:color="auto"/>
              </w:divBdr>
            </w:div>
            <w:div w:id="837230929">
              <w:marLeft w:val="0"/>
              <w:marRight w:val="0"/>
              <w:marTop w:val="0"/>
              <w:marBottom w:val="0"/>
              <w:divBdr>
                <w:top w:val="none" w:sz="0" w:space="0" w:color="auto"/>
                <w:left w:val="none" w:sz="0" w:space="0" w:color="auto"/>
                <w:bottom w:val="none" w:sz="0" w:space="0" w:color="auto"/>
                <w:right w:val="none" w:sz="0" w:space="0" w:color="auto"/>
              </w:divBdr>
            </w:div>
          </w:divsChild>
        </w:div>
        <w:div w:id="1141459282">
          <w:marLeft w:val="0"/>
          <w:marRight w:val="0"/>
          <w:marTop w:val="0"/>
          <w:marBottom w:val="300"/>
          <w:divBdr>
            <w:top w:val="single" w:sz="6" w:space="0" w:color="AAAAAA"/>
            <w:left w:val="single" w:sz="6" w:space="0" w:color="AAAAAA"/>
            <w:bottom w:val="single" w:sz="6" w:space="0" w:color="AAAAAA"/>
            <w:right w:val="single" w:sz="6" w:space="0" w:color="AAAAAA"/>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1188</Words>
  <Characters>6417</Characters>
  <Application>Microsoft Office Word</Application>
  <DocSecurity>0</DocSecurity>
  <Lines>53</Lines>
  <Paragraphs>15</Paragraphs>
  <ScaleCrop>false</ScaleCrop>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2019-03-09T13:28:00Z</dcterms:created>
  <dcterms:modified xsi:type="dcterms:W3CDTF">2019-03-09T13:35:00Z</dcterms:modified>
</cp:coreProperties>
</file>