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6" w:rsidRPr="006D54F6" w:rsidRDefault="006D54F6" w:rsidP="006D54F6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proofErr w:type="gramStart"/>
      <w:r w:rsidRPr="006D54F6">
        <w:rPr>
          <w:rFonts w:ascii="Times New Roman" w:hAnsi="Times New Roman" w:cs="Times New Roman"/>
          <w:b/>
          <w:sz w:val="48"/>
        </w:rPr>
        <w:t>BIBLIOGRAFIA – Módulo II</w:t>
      </w:r>
      <w:proofErr w:type="gramEnd"/>
      <w:r w:rsidRPr="006D54F6">
        <w:rPr>
          <w:rFonts w:ascii="Times New Roman" w:hAnsi="Times New Roman" w:cs="Times New Roman"/>
          <w:b/>
          <w:sz w:val="48"/>
        </w:rPr>
        <w:t xml:space="preserve"> </w:t>
      </w:r>
    </w:p>
    <w:p w:rsidR="00541A4B" w:rsidRPr="006D54F6" w:rsidRDefault="006D54F6" w:rsidP="006D54F6">
      <w:pPr>
        <w:jc w:val="both"/>
        <w:rPr>
          <w:rFonts w:ascii="Times New Roman" w:hAnsi="Times New Roman" w:cs="Times New Roman"/>
          <w:sz w:val="24"/>
          <w:lang w:val="en-US"/>
        </w:rPr>
      </w:pPr>
      <w:r w:rsidRPr="006D54F6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6D54F6">
        <w:rPr>
          <w:rFonts w:ascii="Times New Roman" w:hAnsi="Times New Roman" w:cs="Times New Roman"/>
          <w:sz w:val="24"/>
        </w:rPr>
        <w:t>Anastassopoulos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54F6">
        <w:rPr>
          <w:rFonts w:ascii="Times New Roman" w:hAnsi="Times New Roman" w:cs="Times New Roman"/>
          <w:sz w:val="24"/>
        </w:rPr>
        <w:t>Jean-Piérre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6D54F6">
        <w:rPr>
          <w:rFonts w:ascii="Times New Roman" w:hAnsi="Times New Roman" w:cs="Times New Roman"/>
          <w:sz w:val="24"/>
        </w:rPr>
        <w:t>Détrie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Jean-Pierre; </w:t>
      </w:r>
      <w:proofErr w:type="spellStart"/>
      <w:r w:rsidRPr="006D54F6">
        <w:rPr>
          <w:rFonts w:ascii="Times New Roman" w:hAnsi="Times New Roman" w:cs="Times New Roman"/>
          <w:sz w:val="24"/>
        </w:rPr>
        <w:t>Santi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Michel; et. al. (1993), </w:t>
      </w:r>
      <w:proofErr w:type="spellStart"/>
      <w:r w:rsidRPr="006D54F6">
        <w:rPr>
          <w:rFonts w:ascii="Times New Roman" w:hAnsi="Times New Roman" w:cs="Times New Roman"/>
          <w:sz w:val="24"/>
        </w:rPr>
        <w:t>Strategor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: Estratégia, Estrutura, Decisão, Identidade, Política Global de Empresa, Publicações Dom Quixote; • Cardoso, Luís (1998), Gestão Estratégica das Organizações – ao encontro do 3.º milénio, Editorial Verbo, 3.ª Edição • </w:t>
      </w:r>
      <w:proofErr w:type="spellStart"/>
      <w:r w:rsidRPr="006D54F6">
        <w:rPr>
          <w:rFonts w:ascii="Times New Roman" w:hAnsi="Times New Roman" w:cs="Times New Roman"/>
          <w:sz w:val="24"/>
        </w:rPr>
        <w:t>Clausewitz</w:t>
      </w:r>
      <w:proofErr w:type="spellEnd"/>
      <w:r w:rsidRPr="006D54F6">
        <w:rPr>
          <w:rFonts w:ascii="Times New Roman" w:hAnsi="Times New Roman" w:cs="Times New Roman"/>
          <w:sz w:val="24"/>
        </w:rPr>
        <w:t>, Carl Von, Da Guerra, Livros de Bolso Europa-América, obra n.º 40 830 (</w:t>
      </w:r>
      <w:proofErr w:type="spellStart"/>
      <w:r w:rsidRPr="006D54F6">
        <w:rPr>
          <w:rFonts w:ascii="Times New Roman" w:hAnsi="Times New Roman" w:cs="Times New Roman"/>
          <w:sz w:val="24"/>
        </w:rPr>
        <w:t>Vom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</w:rPr>
        <w:t>Kriege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no título original, publicado postumamente pela mulher do autor, em Berlim, em 1832). • Cruz, Eduardo Harris (1993), Planeamento Estratégico – um guia para a PME, Texto Editora • Freire, Adriano (1997), Estratégia – Sucesso em Portugal, Verbo; • </w:t>
      </w:r>
      <w:proofErr w:type="spellStart"/>
      <w:r w:rsidRPr="006D54F6">
        <w:rPr>
          <w:rFonts w:ascii="Times New Roman" w:hAnsi="Times New Roman" w:cs="Times New Roman"/>
          <w:sz w:val="24"/>
        </w:rPr>
        <w:t>Giles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Lionel (2006), Sun </w:t>
      </w:r>
      <w:proofErr w:type="spellStart"/>
      <w:r w:rsidRPr="006D54F6">
        <w:rPr>
          <w:rFonts w:ascii="Times New Roman" w:hAnsi="Times New Roman" w:cs="Times New Roman"/>
          <w:sz w:val="24"/>
        </w:rPr>
        <w:t>Tzu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– A Arte da Guerra, Edições </w:t>
      </w:r>
      <w:proofErr w:type="spellStart"/>
      <w:r w:rsidRPr="006D54F6">
        <w:rPr>
          <w:rFonts w:ascii="Times New Roman" w:hAnsi="Times New Roman" w:cs="Times New Roman"/>
          <w:sz w:val="24"/>
        </w:rPr>
        <w:t>Sílabo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; • Harvard Business </w:t>
      </w:r>
      <w:proofErr w:type="spellStart"/>
      <w:r w:rsidRPr="006D54F6">
        <w:rPr>
          <w:rFonts w:ascii="Times New Roman" w:hAnsi="Times New Roman" w:cs="Times New Roman"/>
          <w:sz w:val="24"/>
        </w:rPr>
        <w:t>Review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Book (1991): </w:t>
      </w:r>
      <w:proofErr w:type="spellStart"/>
      <w:r w:rsidRPr="006D54F6">
        <w:rPr>
          <w:rFonts w:ascii="Times New Roman" w:hAnsi="Times New Roman" w:cs="Times New Roman"/>
          <w:sz w:val="24"/>
        </w:rPr>
        <w:t>Strategy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D54F6">
        <w:rPr>
          <w:rFonts w:ascii="Times New Roman" w:hAnsi="Times New Roman" w:cs="Times New Roman"/>
          <w:sz w:val="24"/>
        </w:rPr>
        <w:t>Seeking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</w:rPr>
        <w:t>and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</w:rPr>
        <w:t>Securing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</w:rPr>
        <w:t>Competitive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</w:rPr>
        <w:t>Advantage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, editado com uma introdução elaborada por Cynthia A. Montgomery e Michael E. Porter, Harvard Business </w:t>
      </w:r>
      <w:proofErr w:type="spellStart"/>
      <w:r w:rsidRPr="006D54F6">
        <w:rPr>
          <w:rFonts w:ascii="Times New Roman" w:hAnsi="Times New Roman" w:cs="Times New Roman"/>
          <w:sz w:val="24"/>
        </w:rPr>
        <w:t>School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Press. </w:t>
      </w:r>
      <w:r w:rsidRPr="006D54F6">
        <w:rPr>
          <w:rFonts w:ascii="Times New Roman" w:hAnsi="Times New Roman" w:cs="Times New Roman"/>
          <w:sz w:val="24"/>
          <w:lang w:val="en-US"/>
        </w:rPr>
        <w:t xml:space="preserve">• Koch, Richard (1995), The Financial Times Guide to Strategy – How to Create and Deliver a Useful Strategy, Pitman Publishing • Krause, Donald G. (1995), Sun Tzu – The Art of War for Executives, Nicholas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Brealey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Publishing, London •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Mintzberg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Henry (1994), The Rise and Fall of Strategic Planning, Prentice Hall International (UK) Ltd •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Ohmae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Kenichi (1982), The Mind of The Strategist: The Art of Japanese Business, McGraw-Hill, Inc. •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Ries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Al; Trout, Jack (1986), Marketing Warfare, McGraw-Hill Book Company; • Rosa, Álvaro; Teixeira,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António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F. (2002),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Perspectivas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da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gestão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estratégica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Colecção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ISCTE -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Escola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Gestão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Ad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Litteram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 •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Rumelt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Richard P.;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Schendel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Dan E.;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Teece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David J. (1994), Fundamental Issues in Strategy: A Research Agenda, Harvard Business School Press. </w:t>
      </w:r>
      <w:r w:rsidRPr="006D54F6">
        <w:rPr>
          <w:rFonts w:ascii="Times New Roman" w:hAnsi="Times New Roman" w:cs="Times New Roman"/>
          <w:sz w:val="24"/>
        </w:rPr>
        <w:t xml:space="preserve">• Sá, Jorge A. Vasconcellos (1996), Os Senhores da Guerra, Bertrand Editora; • Sá, Jorge A. Vasconcellos (2005), </w:t>
      </w:r>
      <w:proofErr w:type="spellStart"/>
      <w:r w:rsidRPr="006D54F6">
        <w:rPr>
          <w:rFonts w:ascii="Times New Roman" w:hAnsi="Times New Roman" w:cs="Times New Roman"/>
          <w:sz w:val="24"/>
        </w:rPr>
        <w:t>Strategy</w:t>
      </w:r>
      <w:proofErr w:type="spellEnd"/>
      <w:r w:rsidRPr="006D54F6">
        <w:rPr>
          <w:rFonts w:ascii="Times New Roman" w:hAnsi="Times New Roman" w:cs="Times New Roman"/>
          <w:sz w:val="24"/>
        </w:rPr>
        <w:t xml:space="preserve"> Moves, Prentice Hall. </w:t>
      </w:r>
      <w:r w:rsidRPr="006D54F6">
        <w:rPr>
          <w:rFonts w:ascii="Times New Roman" w:hAnsi="Times New Roman" w:cs="Times New Roman"/>
          <w:sz w:val="24"/>
          <w:lang w:val="en-US"/>
        </w:rPr>
        <w:t xml:space="preserve">•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Teck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Foo Check;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Grinyer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 xml:space="preserve">, Peter Hugh (1994), Organizing Strategy: Sun Tzu Business </w:t>
      </w:r>
      <w:proofErr w:type="spellStart"/>
      <w:r w:rsidRPr="006D54F6">
        <w:rPr>
          <w:rFonts w:ascii="Times New Roman" w:hAnsi="Times New Roman" w:cs="Times New Roman"/>
          <w:sz w:val="24"/>
          <w:lang w:val="en-US"/>
        </w:rPr>
        <w:t>Warcraft</w:t>
      </w:r>
      <w:proofErr w:type="spellEnd"/>
      <w:r w:rsidRPr="006D54F6">
        <w:rPr>
          <w:rFonts w:ascii="Times New Roman" w:hAnsi="Times New Roman" w:cs="Times New Roman"/>
          <w:sz w:val="24"/>
          <w:lang w:val="en-US"/>
        </w:rPr>
        <w:t>, Butterworth-Heinemann Ltd</w:t>
      </w:r>
      <w:bookmarkEnd w:id="0"/>
    </w:p>
    <w:sectPr w:rsidR="00541A4B" w:rsidRPr="006D54F6" w:rsidSect="006D54F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6"/>
    <w:rsid w:val="006D54F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2018-11-02T12:24:00Z</dcterms:created>
  <dcterms:modified xsi:type="dcterms:W3CDTF">2018-11-02T12:25:00Z</dcterms:modified>
</cp:coreProperties>
</file>