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73080">
      <w:pPr>
        <w:pStyle w:val="NormalWeb"/>
        <w:rPr>
          <w:rFonts w:ascii="Verdana" w:hAnsi="Verdana"/>
          <w:color w:val="auto"/>
        </w:rPr>
      </w:pPr>
      <w:bookmarkStart w:id="0" w:name="_GoBack"/>
      <w:bookmarkEnd w:id="0"/>
      <w:r>
        <w:rPr>
          <w:rFonts w:ascii="Verdana" w:hAnsi="Verdana"/>
          <w:color w:val="auto"/>
          <w:u w:val="single"/>
        </w:rPr>
        <w:t>O que é o Antrax?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8613"/>
      </w:tblGrid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" name="Imagem 1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pStyle w:val="NormalWeb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O </w:t>
            </w:r>
            <w:r>
              <w:rPr>
                <w:rFonts w:ascii="Verdana" w:hAnsi="Verdana"/>
                <w:i/>
                <w:iCs/>
                <w:color w:val="auto"/>
              </w:rPr>
              <w:t>bacilluss anthracis</w:t>
            </w:r>
            <w:r>
              <w:rPr>
                <w:rFonts w:ascii="Verdana" w:hAnsi="Verdana"/>
                <w:color w:val="auto"/>
              </w:rPr>
              <w:t xml:space="preserve"> foi a primeira bactéria que se demostrou poder causar uma doença. Em 1877, </w:t>
            </w:r>
            <w:r>
              <w:rPr>
                <w:rFonts w:ascii="Verdana" w:hAnsi="Verdana"/>
                <w:b/>
                <w:bCs/>
                <w:color w:val="auto"/>
              </w:rPr>
              <w:t>Robert Koch</w:t>
            </w:r>
            <w:r>
              <w:rPr>
                <w:rFonts w:ascii="Verdana" w:hAnsi="Verdana"/>
                <w:color w:val="auto"/>
              </w:rPr>
              <w:t xml:space="preserve"> colheu o organismo de</w:t>
            </w:r>
            <w:r>
              <w:rPr>
                <w:rFonts w:ascii="Verdana" w:hAnsi="Verdana"/>
                <w:color w:val="auto"/>
              </w:rPr>
              <w:t xml:space="preserve"> uma cultura, demostrando a sua habilidade de formas endosporos, e produziu antrax experimental, através da injectam desses esporos num animal.</w:t>
            </w:r>
          </w:p>
        </w:tc>
      </w:tr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" name="Imagem 2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pStyle w:val="NormalWeb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Ant</w:t>
            </w:r>
            <w:r>
              <w:rPr>
                <w:rFonts w:ascii="Verdana" w:hAnsi="Verdana"/>
                <w:color w:val="auto"/>
              </w:rPr>
              <w:t xml:space="preserve">rax é uma doença natural que ocorre em animais que se alimentam de plantas (gado, viados, etc.) causada pela bactéria </w:t>
            </w:r>
            <w:r>
              <w:rPr>
                <w:rFonts w:ascii="Verdana" w:hAnsi="Verdana"/>
                <w:i/>
                <w:iCs/>
                <w:color w:val="auto"/>
              </w:rPr>
              <w:t>Bacillus anthracis</w:t>
            </w:r>
          </w:p>
        </w:tc>
      </w:tr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3" name="Imagem 3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Antrax é u</w:t>
            </w:r>
            <w:r>
              <w:rPr>
                <w:rFonts w:ascii="Verdana" w:hAnsi="Verdana"/>
              </w:rPr>
              <w:t xml:space="preserve">ma doença aguda infecciosa causada pelos esporos </w:t>
            </w:r>
            <w:hyperlink r:id="rId7" w:anchor="Bacillus anthracis" w:history="1">
              <w:r>
                <w:rPr>
                  <w:rStyle w:val="Hyperlink"/>
                  <w:rFonts w:ascii="Verdana" w:hAnsi="Verdana"/>
                  <w:i/>
                  <w:iCs/>
                  <w:color w:val="auto"/>
                  <w:u w:val="none"/>
                </w:rPr>
                <w:t>Bacillus anthracis</w:t>
              </w:r>
            </w:hyperlink>
            <w:hyperlink r:id="rId8" w:anchor="Bacillus anthracis" w:history="1">
              <w:r>
                <w:rPr>
                  <w:rStyle w:val="Hyperlink"/>
                  <w:rFonts w:ascii="Verdana" w:hAnsi="Verdana"/>
                  <w:color w:val="auto"/>
                  <w:u w:val="none"/>
                </w:rPr>
                <w:t>.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4" name="Imagem 4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Os esporos do Antrax permanecem viáveis durante várias décadas sob determinadas condições.</w:t>
            </w:r>
          </w:p>
        </w:tc>
      </w:tr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5" name="Imagem 5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Cada grama de Antrax é capaz de produzir 100 milhões de doses mortais individuais (é 100,000 vezes mais mortífero que a mais poderosa arma química)</w:t>
            </w:r>
          </w:p>
        </w:tc>
      </w:tr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6" name="Imagem 6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Morta de forma silenciosa e invisível</w:t>
            </w:r>
          </w:p>
        </w:tc>
      </w:tr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7" name="Imagem 7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A inalação de Antrax é praticamente sinónimo de morte a curto prazo.</w:t>
            </w:r>
          </w:p>
        </w:tc>
      </w:tr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8" name="Imagem 8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Os humanos podem contrair antrax por três vias:</w:t>
            </w:r>
          </w:p>
        </w:tc>
      </w:tr>
    </w:tbl>
    <w:p w:rsidR="00000000" w:rsidRDefault="00373080">
      <w:pPr>
        <w:ind w:left="720" w:right="720"/>
        <w:rPr>
          <w:vanish/>
        </w:rPr>
      </w:pP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8583"/>
      </w:tblGrid>
      <w:tr w:rsidR="00000000">
        <w:trPr>
          <w:tblCellSpacing w:w="0" w:type="dxa"/>
        </w:trPr>
        <w:tc>
          <w:tcPr>
            <w:tcW w:w="255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9" name="Imagem 9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Através</w:t>
            </w:r>
            <w:r>
              <w:rPr>
                <w:rFonts w:ascii="Verdana" w:hAnsi="Verdana"/>
              </w:rPr>
              <w:t xml:space="preserve"> de cortes na pele resultantes de contacto com animais contaminados, levando a uma </w:t>
            </w:r>
            <w:hyperlink r:id="rId9" w:anchor="infecção" w:history="1">
              <w:r>
                <w:rPr>
                  <w:rStyle w:val="Hyperlink"/>
                  <w:rFonts w:ascii="Verdana" w:hAnsi="Verdana"/>
                  <w:color w:val="auto"/>
                </w:rPr>
                <w:t>infecção local</w:t>
              </w:r>
            </w:hyperlink>
            <w:r>
              <w:rPr>
                <w:rFonts w:ascii="Verdana" w:hAnsi="Verdana"/>
              </w:rPr>
              <w:t xml:space="preserve"> ou sistémica.</w:t>
            </w:r>
          </w:p>
        </w:tc>
      </w:tr>
      <w:tr w:rsidR="00000000">
        <w:trPr>
          <w:tblCellSpacing w:w="0" w:type="dxa"/>
        </w:trPr>
        <w:tc>
          <w:tcPr>
            <w:tcW w:w="255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0" name="Imagem 10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 xml:space="preserve">Através da inalação de esporos resultando numa </w:t>
            </w:r>
            <w:hyperlink r:id="rId10" w:anchor="torax" w:history="1">
              <w:r>
                <w:rPr>
                  <w:rStyle w:val="Hyperlink"/>
                  <w:rFonts w:ascii="Verdana" w:hAnsi="Verdana"/>
                  <w:color w:val="auto"/>
                </w:rPr>
                <w:t>infecção nos pulmões</w:t>
              </w:r>
            </w:hyperlink>
            <w:r>
              <w:rPr>
                <w:rFonts w:ascii="Verdana" w:hAnsi="Verdana"/>
              </w:rPr>
              <w:t>.</w:t>
            </w:r>
          </w:p>
        </w:tc>
      </w:tr>
      <w:tr w:rsidR="00000000">
        <w:trPr>
          <w:tblCellSpacing w:w="0" w:type="dxa"/>
        </w:trPr>
        <w:tc>
          <w:tcPr>
            <w:tcW w:w="255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1" name="Imagem 11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Por ingestão de comida contaminada, resultando numa infecção gastrointestinal (antrax gastrointestinal). Este tipo de contaminação não é normalmente considerada uma ameaça para as forças militares.</w:t>
            </w:r>
          </w:p>
        </w:tc>
      </w:tr>
    </w:tbl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  <w:u w:val="single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  <w:u w:val="single"/>
        </w:rPr>
      </w:pPr>
      <w:r>
        <w:rPr>
          <w:rFonts w:ascii="Verdana" w:hAnsi="Verdana"/>
          <w:color w:val="auto"/>
          <w:u w:val="single"/>
        </w:rPr>
        <w:t>Quais os sintomas?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     Os sintomas d</w:t>
      </w:r>
      <w:r>
        <w:rPr>
          <w:rFonts w:ascii="Verdana" w:hAnsi="Verdana"/>
          <w:color w:val="auto"/>
        </w:rPr>
        <w:t>e antrax começam depois de 1 a 6 dias de incubação, dependendo do tipo de contagio.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8613"/>
      </w:tblGrid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2" name="Imagem 12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Cutâneo: A maior percentagem (95%) da infecção do antrax ocorre</w:t>
            </w:r>
            <w:r>
              <w:rPr>
                <w:rFonts w:ascii="Verdana" w:hAnsi="Verdana"/>
              </w:rPr>
              <w:t xml:space="preserve"> quando a bactéria entra num golpe ou uma raspadura na pele, quando em contacto com madeira, couro, cabedal, lã, ou animais contaminados. A infecção na pele começa com um inchaço, semelhante a uma mordidela de insecto, no entanto ao fim de dois dias torna-</w:t>
            </w:r>
            <w:r>
              <w:rPr>
                <w:rFonts w:ascii="Verdana" w:hAnsi="Verdana"/>
              </w:rPr>
              <w:t xml:space="preserve">se uma ulcera não dolorosa, normalmente com 1 a 3 cm de diâmetro, com uma zona negra constituída por tecido morto no centro. Os glândulos linfáticos da zona adjacente podem inchar. Seca de 20% dos casos não tratados de antrax cutâneo resultam na morte. No </w:t>
            </w:r>
            <w:r>
              <w:rPr>
                <w:rFonts w:ascii="Verdana" w:hAnsi="Verdana"/>
              </w:rPr>
              <w:t>entanto com uma terapia apropria as mortes são raras.</w:t>
            </w:r>
          </w:p>
        </w:tc>
      </w:tr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3" name="Imagem 13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Inalação: Os sintomas iniciais assemelham-se a uma constipação comum. Ao fim de vários dias a</w:t>
            </w:r>
            <w:r>
              <w:rPr>
                <w:rFonts w:ascii="Verdana" w:hAnsi="Verdana"/>
              </w:rPr>
              <w:t xml:space="preserve"> tendência é um aparecimento de </w:t>
            </w:r>
            <w:r>
              <w:rPr>
                <w:rFonts w:ascii="Verdana" w:hAnsi="Verdana"/>
              </w:rPr>
              <w:lastRenderedPageBreak/>
              <w:t>problemas respiratórios e entrado do paciente em choque. Normalmente este tipo de contaminação é fatal</w:t>
            </w:r>
          </w:p>
        </w:tc>
      </w:tr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2875" cy="142875"/>
                  <wp:effectExtent l="0" t="0" r="0" b="0"/>
                  <wp:docPr id="14" name="Imagem 14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Intestinal: </w:t>
            </w:r>
            <w:r>
              <w:rPr>
                <w:rFonts w:ascii="Verdana" w:hAnsi="Verdana"/>
              </w:rPr>
              <w:t>A doença intestinal provocada pelo antrax, surge depois da ingestão de carne contaminada e é caracterizada por uma inflamação aguda no intestino. Os sinais iniciais caracterizam-se por náuseas, perda de apetite, vómitos, febre seguida de fortes dores abdom</w:t>
            </w:r>
            <w:r>
              <w:rPr>
                <w:rFonts w:ascii="Verdana" w:hAnsi="Verdana"/>
              </w:rPr>
              <w:t>inais, vómitos contendo sangue, e diarreia, este tipo de contaminação leva á morte de 25 a 60% dos contaminados.</w:t>
            </w:r>
          </w:p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AE4C1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auto"/>
        </w:rPr>
      </w:pPr>
      <w:r>
        <w:rPr>
          <w:rFonts w:ascii="Verdana" w:hAnsi="Verdana"/>
          <w:noProof/>
          <w:color w:val="auto"/>
        </w:rPr>
        <w:drawing>
          <wp:inline distT="0" distB="0" distL="0" distR="0">
            <wp:extent cx="2962275" cy="2305050"/>
            <wp:effectExtent l="0" t="0" r="0" b="0"/>
            <wp:docPr id="15" name="Imagem 15" descr="http://www.geocities.com/gas_toxico/img/pulm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eocities.com/gas_toxico/img/pulma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Imagem radiologica do tórax  de indivíduo de 51</w:t>
      </w:r>
      <w:r>
        <w:rPr>
          <w:rFonts w:ascii="Verdana" w:hAnsi="Verdana"/>
          <w:color w:val="auto"/>
        </w:rPr>
        <w:t xml:space="preserve"> anos que trabalhava com exposição a antrax em suspensão no ar, no segundo dia da doença, com antrax diagnosticado.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</w:p>
    <w:p w:rsidR="00000000" w:rsidRDefault="00AE4C1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auto"/>
        </w:rPr>
      </w:pPr>
      <w:r>
        <w:rPr>
          <w:rFonts w:ascii="Verdana" w:hAnsi="Verdana"/>
          <w:noProof/>
          <w:color w:val="auto"/>
        </w:rPr>
        <w:drawing>
          <wp:inline distT="0" distB="0" distL="0" distR="0">
            <wp:extent cx="4400550" cy="1590675"/>
            <wp:effectExtent l="0" t="0" r="0" b="0"/>
            <wp:docPr id="16" name="Imagem 16" descr="http://www.geocities.com/gas_toxico/img/le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eocities.com/gas_toxico/img/lesa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  <w:u w:val="single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  <w:u w:val="single"/>
        </w:rPr>
        <w:t>Esquerda:</w:t>
      </w:r>
      <w:r>
        <w:rPr>
          <w:rFonts w:ascii="Verdana" w:hAnsi="Verdana"/>
          <w:color w:val="auto"/>
        </w:rPr>
        <w:t xml:space="preserve"> lesão ao sétimo dia, demostra vesicu</w:t>
      </w:r>
      <w:r>
        <w:rPr>
          <w:rFonts w:ascii="Verdana" w:hAnsi="Verdana"/>
          <w:color w:val="auto"/>
        </w:rPr>
        <w:t>lação e ulceração da pele infectada por Antrax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  <w:u w:val="single"/>
        </w:rPr>
        <w:t>Direita:</w:t>
      </w:r>
      <w:r>
        <w:rPr>
          <w:rFonts w:ascii="Verdana" w:hAnsi="Verdana"/>
          <w:color w:val="auto"/>
        </w:rPr>
        <w:t xml:space="preserve"> Lesão no decimo quinto dia, aspecto típico do último estado da lesão antes da recuperação. 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  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  <w:u w:val="single"/>
        </w:rPr>
      </w:pPr>
      <w:r>
        <w:rPr>
          <w:rFonts w:ascii="Verdana" w:hAnsi="Verdana"/>
          <w:color w:val="auto"/>
          <w:u w:val="single"/>
        </w:rPr>
        <w:t>O antrax pode ser disseminado de pessoa para pessoa?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    É extremamente remota a possibilidade de contag</w:t>
      </w:r>
      <w:r>
        <w:rPr>
          <w:rFonts w:ascii="Verdana" w:hAnsi="Verdana"/>
          <w:color w:val="auto"/>
        </w:rPr>
        <w:t>io directo de pessoa para pessoa.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  <w:u w:val="single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  <w:u w:val="single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  <w:u w:val="single"/>
        </w:rPr>
      </w:pPr>
      <w:r>
        <w:rPr>
          <w:rFonts w:ascii="Verdana" w:hAnsi="Verdana"/>
          <w:color w:val="auto"/>
          <w:u w:val="single"/>
        </w:rPr>
        <w:t>Existe alguma forma de prevenir a infecção?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    Em países onde onde o antrax é comum, e onde os níveis de vacinação dos animais é baixa, os humanos devem evitar o contacto com animais vivos e carne crua, deve-se ainda </w:t>
      </w:r>
      <w:r>
        <w:rPr>
          <w:rFonts w:ascii="Verdana" w:hAnsi="Verdana"/>
          <w:color w:val="auto"/>
        </w:rPr>
        <w:t xml:space="preserve">evitar o consumo de carne que não esteja devidamente cozinhada. Existe ainda uma vacina licencia pelas autoridades de saúde, que apresenta uma taxa de eficiência de 93%. 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  <w:u w:val="single"/>
        </w:rPr>
        <w:t>O que é a vacina do antrax?</w:t>
      </w:r>
      <w:r>
        <w:rPr>
          <w:rFonts w:ascii="Verdana" w:hAnsi="Verdana"/>
          <w:color w:val="auto"/>
        </w:rPr>
        <w:t xml:space="preserve"> 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    Esta vacina é produzida e distribuída pela  BioPor</w:t>
      </w:r>
      <w:r>
        <w:rPr>
          <w:rFonts w:ascii="Verdana" w:hAnsi="Verdana"/>
          <w:color w:val="auto"/>
        </w:rPr>
        <w:t xml:space="preserve">t Corporation, Michigan, USA. Esta não contem qualquer tipo de bactérias quer vivas quer mortas, contendo no máximo 2.4 mg de hidróxido de alumínio. Esta vacina foi concebida para animais e não para humanos. 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</w:p>
    <w:p w:rsidR="00000000" w:rsidRDefault="00AE4C1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auto"/>
        </w:rPr>
      </w:pPr>
      <w:r>
        <w:rPr>
          <w:rFonts w:ascii="Verdana" w:hAnsi="Verdana"/>
          <w:noProof/>
          <w:color w:val="auto"/>
        </w:rPr>
        <w:drawing>
          <wp:inline distT="0" distB="0" distL="0" distR="0">
            <wp:extent cx="2428875" cy="1571625"/>
            <wp:effectExtent l="0" t="0" r="0" b="0"/>
            <wp:docPr id="17" name="Imagem 17" descr="http://www.geocities.com/gas_toxico/img/Va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eocities.com/gas_toxico/img/Vaci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  <w:u w:val="single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  <w:u w:val="single"/>
        </w:rPr>
        <w:t>Quem deve ser vacinado?</w:t>
      </w:r>
      <w:r>
        <w:rPr>
          <w:rFonts w:ascii="Verdana" w:hAnsi="Verdana"/>
          <w:color w:val="auto"/>
        </w:rPr>
        <w:t xml:space="preserve"> 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    É recomendada a vacinação aos seguintes grupos: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8613"/>
      </w:tblGrid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8" name="Imagem 18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Pessoas que trabalhão</w:t>
            </w:r>
            <w:r>
              <w:rPr>
                <w:rFonts w:ascii="Verdana" w:hAnsi="Verdana"/>
              </w:rPr>
              <w:t xml:space="preserve"> diretamente com o organismo no laboratório.</w:t>
            </w:r>
          </w:p>
        </w:tc>
      </w:tr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9" name="Imagem 19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Pessoas que trabalhão com carne importada de países com poucas restrições nesta matéria.</w:t>
            </w:r>
          </w:p>
        </w:tc>
      </w:tr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0" name="Imagem 20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Pessoas que trabalhão com carne e animais infectados em áreas de grande incidência da doença.</w:t>
            </w:r>
          </w:p>
        </w:tc>
      </w:tr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1" name="Imagem 21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 xml:space="preserve">Pessoal militar deslocados para áreas onde o risco de exposição é elevado, quando é utilizado como arma biológica. </w:t>
            </w:r>
          </w:p>
        </w:tc>
      </w:tr>
    </w:tbl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 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Qual o método de administração da vacina?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    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  <w:u w:val="single"/>
        </w:rPr>
      </w:pPr>
      <w:r>
        <w:rPr>
          <w:rFonts w:ascii="Verdana" w:hAnsi="Verdana"/>
          <w:color w:val="auto"/>
          <w:u w:val="single"/>
        </w:rPr>
        <w:t>Esta é também uma arma biológica preferencial d</w:t>
      </w:r>
      <w:r>
        <w:rPr>
          <w:rFonts w:ascii="Verdana" w:hAnsi="Verdana"/>
          <w:color w:val="auto"/>
          <w:u w:val="single"/>
        </w:rPr>
        <w:t>evido: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Existem poucas barreiras é produção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8613"/>
      </w:tblGrid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2" name="Imagem 22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Baixo custo de produção do Antrax</w:t>
            </w:r>
          </w:p>
        </w:tc>
      </w:tr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3" name="Imagem 23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Não necessita de grande conhecimento nem tecnologia para a sua produção</w:t>
            </w:r>
          </w:p>
        </w:tc>
      </w:tr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2875" cy="142875"/>
                  <wp:effectExtent l="0" t="0" r="0" b="0"/>
                  <wp:docPr id="24" name="Imagem 24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Fácil de produzir em larga escala</w:t>
            </w:r>
          </w:p>
        </w:tc>
      </w:tr>
    </w:tbl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F</w:t>
      </w:r>
      <w:r>
        <w:rPr>
          <w:rFonts w:ascii="Verdana" w:hAnsi="Verdana"/>
          <w:color w:val="auto"/>
        </w:rPr>
        <w:t>ácil de torná-la numa arma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8613"/>
      </w:tblGrid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5" name="Imagem 25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É extremamente estável. Pode ser armazena por um período virtualmente indefinido sob a forma de pó, mantendo todas as su</w:t>
            </w:r>
            <w:r>
              <w:rPr>
                <w:rFonts w:ascii="Verdana" w:hAnsi="Verdana"/>
              </w:rPr>
              <w:t>as características</w:t>
            </w:r>
          </w:p>
        </w:tc>
      </w:tr>
      <w:tr w:rsidR="00000000">
        <w:trPr>
          <w:tblCellSpacing w:w="0" w:type="dxa"/>
        </w:trPr>
        <w:tc>
          <w:tcPr>
            <w:tcW w:w="630" w:type="dxa"/>
          </w:tcPr>
          <w:p w:rsidR="00000000" w:rsidRDefault="00AE4C1B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6" name="Imagem 26" descr="http://www.geocities.com/gas_toxico/_themes/sumipntg/sum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eocities.com/gas_toxico/_themes/sumipntg/sum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000000" w:rsidRDefault="00373080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Verdana" w:hAnsi="Verdana"/>
              </w:rPr>
              <w:t>Pode ser disperso por simples aerossol, ou em balística.</w:t>
            </w:r>
          </w:p>
        </w:tc>
      </w:tr>
    </w:tbl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Existe de momento, uma baixa capacidade de detecção.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 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auto"/>
          <w:u w:val="single"/>
        </w:rPr>
      </w:pPr>
      <w:r>
        <w:rPr>
          <w:rFonts w:ascii="Verdana" w:hAnsi="Verdana"/>
          <w:b/>
          <w:bCs/>
          <w:color w:val="auto"/>
          <w:u w:val="single"/>
        </w:rPr>
        <w:t>Vacina do Antra</w:t>
      </w:r>
      <w:r>
        <w:rPr>
          <w:rFonts w:ascii="Verdana" w:hAnsi="Verdana"/>
          <w:b/>
          <w:bCs/>
          <w:color w:val="auto"/>
          <w:u w:val="single"/>
        </w:rPr>
        <w:t>x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Evidência de segurança e eficiência contra a inalação de antrax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    Acredita-se que são vários os países possuidores de armas biológicas, capazes de causar grande devastação entre indivíduos não protegidos. O </w:t>
      </w:r>
      <w:r>
        <w:rPr>
          <w:rFonts w:ascii="Verdana" w:hAnsi="Verdana"/>
          <w:i/>
          <w:iCs/>
          <w:color w:val="auto"/>
        </w:rPr>
        <w:t>Bacillus antracis</w:t>
      </w:r>
      <w:r>
        <w:rPr>
          <w:rFonts w:ascii="Verdana" w:hAnsi="Verdana"/>
          <w:color w:val="auto"/>
        </w:rPr>
        <w:t>, agente causador do antrax</w:t>
      </w:r>
      <w:r>
        <w:rPr>
          <w:rFonts w:ascii="Verdana" w:hAnsi="Verdana"/>
          <w:color w:val="auto"/>
        </w:rPr>
        <w:t>, é um dos possíveis causadores de grande devastação caso seja utilizado.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    A forma mais comum e natural de contaminação é a cutânea, causada por inoculação direta do organismo através da pele depois de contacto com animais, tecidos ou produtos animais c</w:t>
      </w:r>
      <w:r>
        <w:rPr>
          <w:rFonts w:ascii="Verdana" w:hAnsi="Verdana"/>
          <w:color w:val="auto"/>
        </w:rPr>
        <w:t>ontaminados. No entanto a forma de contração da doença em virtude de um ataque biológico seria através da inalação de esporos do bacilo. Esta forma da doença é normalmente fatal quando não tratada convenientemente. A incidência natural do antrax na populaç</w:t>
      </w:r>
      <w:r>
        <w:rPr>
          <w:rFonts w:ascii="Verdana" w:hAnsi="Verdana"/>
          <w:color w:val="auto"/>
        </w:rPr>
        <w:t>ão é muito baixa principalmente se estivermos a falar na forma contraída por inalação. Devido a estes factos é extremamente complicado o estudo dos efeitos da vacina nos humanos para tla são utilizados animais para os testes clínicos.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Historia da vacina (A</w:t>
      </w:r>
      <w:r>
        <w:rPr>
          <w:rFonts w:ascii="Verdana" w:hAnsi="Verdana"/>
          <w:color w:val="auto"/>
        </w:rPr>
        <w:t>VA)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    A AVA administrada aos militares americanos foi aprovada pela FDA (Food and Drug Administration) desde 1970.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auto"/>
          <w:u w:val="single"/>
        </w:rPr>
      </w:pPr>
      <w:r>
        <w:rPr>
          <w:rFonts w:ascii="Verdana" w:hAnsi="Verdana"/>
          <w:b/>
          <w:bCs/>
          <w:color w:val="auto"/>
          <w:u w:val="single"/>
        </w:rPr>
        <w:t>Descontaminação:</w:t>
      </w: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</w:p>
    <w:p w:rsidR="00000000" w:rsidRDefault="0037308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    As recomendações relativas à descontaminação na seqüência de uma pulverização intencional de esporos de antrax são b</w:t>
      </w:r>
      <w:r>
        <w:rPr>
          <w:rFonts w:ascii="Verdana" w:hAnsi="Verdana"/>
          <w:color w:val="auto"/>
        </w:rPr>
        <w:t>aseadas em evidencias sobre disseminação de um aerossol, sobrevivência dos esporos de antrax e exposição ambiental em Sverdlovsk. O grande risco para a saúde humana na seqüência aerossolização de esporos de antrax ocorre no período em que os esporos de ant</w:t>
      </w:r>
      <w:r>
        <w:rPr>
          <w:rFonts w:ascii="Verdana" w:hAnsi="Verdana"/>
          <w:color w:val="auto"/>
        </w:rPr>
        <w:t xml:space="preserve">rax permanecem no ar, chamada </w:t>
      </w:r>
      <w:r>
        <w:rPr>
          <w:rFonts w:ascii="Verdana" w:hAnsi="Verdana"/>
          <w:i/>
          <w:iCs/>
          <w:color w:val="auto"/>
        </w:rPr>
        <w:t>aerossolização primária</w:t>
      </w:r>
      <w:r>
        <w:rPr>
          <w:rFonts w:ascii="Verdana" w:hAnsi="Verdana"/>
          <w:color w:val="auto"/>
        </w:rPr>
        <w:t>. O clima e o tipo de pulverização têm um papel muito importante no período durante o qual os esporos permanecem na atmosfera e a distância percorrida pelos mesmos antes de atingirem o solo ou se tornare</w:t>
      </w:r>
      <w:r>
        <w:rPr>
          <w:rFonts w:ascii="Verdana" w:hAnsi="Verdana"/>
          <w:color w:val="auto"/>
        </w:rPr>
        <w:t xml:space="preserve">m inofensivos. Em condições extremas de sobrevivência e persistência, o aerossol estará totalmente disperso num período compreendido entre 1 hora e 1 dia no máximo, bem antes de os primeiros sintomas serem detectados. </w:t>
      </w:r>
    </w:p>
    <w:p w:rsidR="00000000" w:rsidRDefault="00373080"/>
    <w:sectPr w:rsidR="00000000">
      <w:headerReference w:type="default" r:id="rId14"/>
      <w:pgSz w:w="12240" w:h="15840"/>
      <w:pgMar w:top="709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80" w:rsidRDefault="00373080">
      <w:r>
        <w:separator/>
      </w:r>
    </w:p>
  </w:endnote>
  <w:endnote w:type="continuationSeparator" w:id="0">
    <w:p w:rsidR="00373080" w:rsidRDefault="0037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80" w:rsidRDefault="00373080">
      <w:r>
        <w:separator/>
      </w:r>
    </w:p>
  </w:footnote>
  <w:footnote w:type="continuationSeparator" w:id="0">
    <w:p w:rsidR="00373080" w:rsidRDefault="0037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73080">
    <w:pPr>
      <w:pStyle w:val="Cabealho"/>
      <w:jc w:val="center"/>
      <w:rPr>
        <w:b/>
        <w:bCs/>
      </w:rPr>
    </w:pPr>
    <w:r>
      <w:rPr>
        <w:b/>
        <w:bCs/>
      </w:rPr>
      <w:t>Vestibular1 – A melhor ajuda ao vest</w:t>
    </w:r>
    <w:r>
      <w:rPr>
        <w:b/>
        <w:bCs/>
      </w:rPr>
      <w:t>ibulando na Internet</w:t>
    </w:r>
  </w:p>
  <w:p w:rsidR="00000000" w:rsidRDefault="00373080">
    <w:pPr>
      <w:pStyle w:val="Cabealho"/>
      <w:jc w:val="center"/>
      <w:rPr>
        <w:b/>
        <w:bCs/>
      </w:rPr>
    </w:pPr>
    <w:r>
      <w:rPr>
        <w:b/>
        <w:bCs/>
      </w:rPr>
      <w:t xml:space="preserve">Acesse |Agora !    </w:t>
    </w:r>
    <w:hyperlink r:id="rId1" w:history="1">
      <w:r>
        <w:rPr>
          <w:rStyle w:val="Hyperlink"/>
          <w:b/>
          <w:bCs/>
        </w:rPr>
        <w:t>www.vestibular1.com.br</w:t>
      </w:r>
    </w:hyperlink>
  </w:p>
  <w:p w:rsidR="00000000" w:rsidRDefault="003730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comments" w:enforcement="1" w:cryptProviderType="rsaAES" w:cryptAlgorithmClass="hash" w:cryptAlgorithmType="typeAny" w:cryptAlgorithmSid="14" w:cryptSpinCount="100000" w:hash="PFYPqhUf8tem2vnD37LqBWOiGjd0yBXewY02ioUJxSUJ6XIgzMpEQY+4YjhvklI0/tPGd0W+mcjLchzbv5eLqQ==" w:salt="EoYehLUeTgUvplZC/ZTvT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1B"/>
    <w:rsid w:val="00373080"/>
    <w:rsid w:val="00A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0736155-92D8-4E38-B329-60A071F7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pBdr>
        <w:top w:val="single" w:sz="4" w:space="1" w:color="auto"/>
      </w:pBdr>
    </w:pPr>
    <w:rPr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szCs w:val="24"/>
    </w:rPr>
  </w:style>
  <w:style w:type="character" w:styleId="Hyperlink">
    <w:name w:val="Hyperlink"/>
    <w:basedOn w:val="Fontepargpadro"/>
    <w:semiHidden/>
    <w:rPr>
      <w:color w:val="3333CC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ities.com/gas_toxico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geocities.com/gas_toxico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eocities.com/gas_toxi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ocities.com/gas_toxic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stibular1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6108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o Antrax</vt:lpstr>
    </vt:vector>
  </TitlesOfParts>
  <Company>NILSON AMADEU - CURSOS (MASTERSHOP)</Company>
  <LinksUpToDate>false</LinksUpToDate>
  <CharactersWithSpaces>7224</CharactersWithSpaces>
  <SharedDoc>false</SharedDoc>
  <HLinks>
    <vt:vector size="186" baseType="variant">
      <vt:variant>
        <vt:i4>262264</vt:i4>
      </vt:variant>
      <vt:variant>
        <vt:i4>39</vt:i4>
      </vt:variant>
      <vt:variant>
        <vt:i4>0</vt:i4>
      </vt:variant>
      <vt:variant>
        <vt:i4>5</vt:i4>
      </vt:variant>
      <vt:variant>
        <vt:lpwstr>http://www.geocities.com/gas_toxico/</vt:lpwstr>
      </vt:variant>
      <vt:variant>
        <vt:lpwstr>torax</vt:lpwstr>
      </vt:variant>
      <vt:variant>
        <vt:i4>8978673</vt:i4>
      </vt:variant>
      <vt:variant>
        <vt:i4>33</vt:i4>
      </vt:variant>
      <vt:variant>
        <vt:i4>0</vt:i4>
      </vt:variant>
      <vt:variant>
        <vt:i4>5</vt:i4>
      </vt:variant>
      <vt:variant>
        <vt:lpwstr>http://www.geocities.com/gas_toxico/</vt:lpwstr>
      </vt:variant>
      <vt:variant>
        <vt:lpwstr>infecção</vt:lpwstr>
      </vt:variant>
      <vt:variant>
        <vt:i4>6946888</vt:i4>
      </vt:variant>
      <vt:variant>
        <vt:i4>12</vt:i4>
      </vt:variant>
      <vt:variant>
        <vt:i4>0</vt:i4>
      </vt:variant>
      <vt:variant>
        <vt:i4>5</vt:i4>
      </vt:variant>
      <vt:variant>
        <vt:lpwstr>http://www.geocities.com/gas_toxico/</vt:lpwstr>
      </vt:variant>
      <vt:variant>
        <vt:lpwstr>Bacillus anthracis</vt:lpwstr>
      </vt:variant>
      <vt:variant>
        <vt:i4>6946888</vt:i4>
      </vt:variant>
      <vt:variant>
        <vt:i4>9</vt:i4>
      </vt:variant>
      <vt:variant>
        <vt:i4>0</vt:i4>
      </vt:variant>
      <vt:variant>
        <vt:i4>5</vt:i4>
      </vt:variant>
      <vt:variant>
        <vt:lpwstr>http://www.geocities.com/gas_toxico/</vt:lpwstr>
      </vt:variant>
      <vt:variant>
        <vt:lpwstr>Bacillus anthracis</vt:lpwstr>
      </vt:variant>
      <vt:variant>
        <vt:i4>2162720</vt:i4>
      </vt:variant>
      <vt:variant>
        <vt:i4>0</vt:i4>
      </vt:variant>
      <vt:variant>
        <vt:i4>0</vt:i4>
      </vt:variant>
      <vt:variant>
        <vt:i4>5</vt:i4>
      </vt:variant>
      <vt:variant>
        <vt:lpwstr>http://www.vestibular1.com.br/</vt:lpwstr>
      </vt:variant>
      <vt:variant>
        <vt:lpwstr/>
      </vt:variant>
      <vt:variant>
        <vt:i4>5832735</vt:i4>
      </vt:variant>
      <vt:variant>
        <vt:i4>1147</vt:i4>
      </vt:variant>
      <vt:variant>
        <vt:i4>1025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1530</vt:i4>
      </vt:variant>
      <vt:variant>
        <vt:i4>1026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1779</vt:i4>
      </vt:variant>
      <vt:variant>
        <vt:i4>1027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2122</vt:i4>
      </vt:variant>
      <vt:variant>
        <vt:i4>1028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2322</vt:i4>
      </vt:variant>
      <vt:variant>
        <vt:i4>1029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2579</vt:i4>
      </vt:variant>
      <vt:variant>
        <vt:i4>1030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2726</vt:i4>
      </vt:variant>
      <vt:variant>
        <vt:i4>1031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2904</vt:i4>
      </vt:variant>
      <vt:variant>
        <vt:i4>1032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3062</vt:i4>
      </vt:variant>
      <vt:variant>
        <vt:i4>1035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3357</vt:i4>
      </vt:variant>
      <vt:variant>
        <vt:i4>1036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3599</vt:i4>
      </vt:variant>
      <vt:variant>
        <vt:i4>1037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4030</vt:i4>
      </vt:variant>
      <vt:variant>
        <vt:i4>1038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4768</vt:i4>
      </vt:variant>
      <vt:variant>
        <vt:i4>1039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5105</vt:i4>
      </vt:variant>
      <vt:variant>
        <vt:i4>1040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3276883</vt:i4>
      </vt:variant>
      <vt:variant>
        <vt:i4>5581</vt:i4>
      </vt:variant>
      <vt:variant>
        <vt:i4>1033</vt:i4>
      </vt:variant>
      <vt:variant>
        <vt:i4>1</vt:i4>
      </vt:variant>
      <vt:variant>
        <vt:lpwstr>http://www.geocities.com/gas_toxico/img/pulmao.jpg</vt:lpwstr>
      </vt:variant>
      <vt:variant>
        <vt:lpwstr/>
      </vt:variant>
      <vt:variant>
        <vt:i4>1179754</vt:i4>
      </vt:variant>
      <vt:variant>
        <vt:i4>5838</vt:i4>
      </vt:variant>
      <vt:variant>
        <vt:i4>1034</vt:i4>
      </vt:variant>
      <vt:variant>
        <vt:i4>1</vt:i4>
      </vt:variant>
      <vt:variant>
        <vt:lpwstr>http://www.geocities.com/gas_toxico/img/lesao.jpg</vt:lpwstr>
      </vt:variant>
      <vt:variant>
        <vt:lpwstr/>
      </vt:variant>
      <vt:variant>
        <vt:i4>2883669</vt:i4>
      </vt:variant>
      <vt:variant>
        <vt:i4>6956</vt:i4>
      </vt:variant>
      <vt:variant>
        <vt:i4>1041</vt:i4>
      </vt:variant>
      <vt:variant>
        <vt:i4>1</vt:i4>
      </vt:variant>
      <vt:variant>
        <vt:lpwstr>http://www.geocities.com/gas_toxico/img/Vacina.jpg</vt:lpwstr>
      </vt:variant>
      <vt:variant>
        <vt:lpwstr/>
      </vt:variant>
      <vt:variant>
        <vt:i4>5832735</vt:i4>
      </vt:variant>
      <vt:variant>
        <vt:i4>7144</vt:i4>
      </vt:variant>
      <vt:variant>
        <vt:i4>1042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7319</vt:i4>
      </vt:variant>
      <vt:variant>
        <vt:i4>1043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7517</vt:i4>
      </vt:variant>
      <vt:variant>
        <vt:i4>1044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7720</vt:i4>
      </vt:variant>
      <vt:variant>
        <vt:i4>1045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8085</vt:i4>
      </vt:variant>
      <vt:variant>
        <vt:i4>1046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8228</vt:i4>
      </vt:variant>
      <vt:variant>
        <vt:i4>1047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8409</vt:i4>
      </vt:variant>
      <vt:variant>
        <vt:i4>1048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8581</vt:i4>
      </vt:variant>
      <vt:variant>
        <vt:i4>1049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  <vt:variant>
        <vt:i4>5832735</vt:i4>
      </vt:variant>
      <vt:variant>
        <vt:i4>8829</vt:i4>
      </vt:variant>
      <vt:variant>
        <vt:i4>1050</vt:i4>
      </vt:variant>
      <vt:variant>
        <vt:i4>1</vt:i4>
      </vt:variant>
      <vt:variant>
        <vt:lpwstr>http://www.geocities.com/gas_toxico/_themes/sumipntg/sumbul1a.gif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o Antrax</dc:title>
  <dc:subject/>
  <dc:creator>CURSOMASTER</dc:creator>
  <cp:keywords/>
  <dc:description/>
  <cp:lastModifiedBy>Usuário do Windows</cp:lastModifiedBy>
  <cp:revision>2</cp:revision>
  <dcterms:created xsi:type="dcterms:W3CDTF">2018-08-14T20:34:00Z</dcterms:created>
  <dcterms:modified xsi:type="dcterms:W3CDTF">2018-08-14T20:34:00Z</dcterms:modified>
</cp:coreProperties>
</file>