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87" w:rsidRPr="00D46F87" w:rsidRDefault="00D46F87" w:rsidP="00D46F8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r w:rsidRPr="00D46F8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Estado Novo, a Redemocratização de 1946</w:t>
      </w:r>
    </w:p>
    <w:p w:rsidR="00D46F87" w:rsidRPr="00D46F87" w:rsidRDefault="00D46F87" w:rsidP="00D46F87">
      <w:pPr>
        <w:numPr>
          <w:ilvl w:val="0"/>
          <w:numId w:val="1"/>
        </w:numPr>
        <w:spacing w:before="75" w:after="0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D46F87" w:rsidRPr="00D46F87" w:rsidRDefault="00D46F87" w:rsidP="00D46F87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duas fases da redemocratização</w:t>
      </w:r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O processo de redemocratização comportou pelo menos duas etapas distintas: a primeira vai de outubro de 1943, data do Manifesto dos Mineiros, até 29 de outubro de 1945; a segunda começa com a presidência transitória de Linhares (29 de outubro de 1945 a 1° de fevereiro de 1946) e vai até setembro de 1946, com o encerramento dos trabalhos da Constituinte. A primeira fase correspondeu às agitações democráticas que culminaram com a queda de Vargas. A segunda - que Weffort considera "a fase da colheita" - correspondeu à reorganização do país segundo as determinações da fase anterior.</w:t>
      </w: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vitória aparente da UDN</w:t>
      </w:r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Com o golpe de 9 de outubro de 1945 e a deposição de Vargas, a UDN aparentemente tinha saído vitoriosa. Visto mais de perto, o golpe desencadeado pela UDN limitou-se à mera conspiração, com caráter palaciano, sem o concurso da mobilização popular. De modo que a derrubada de Vargas não teve, como se esperava, a devida repercussão política e popular. Ao contrário, a forma como Getúlio caiu fez com que ele aparecesse, aos olhos da opinião pública, como vítima do "partido dos ricos". O prestígio do ditador não diminuiu e, inversamente ao que se poderia supor, o "queremismo" não fora motivado apenas por forças oficiais. Surpreendentemente, a popularidade de Getúlio, "pai dos pobres", mostrou-se bem acima das expectativas criadas nas eleições presidenciais que levaram o general Dutra ao poder.</w:t>
      </w: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PCB</w:t>
      </w:r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PCB, por sua vez, manteve-se dentro da orientação anterior à queda de Vargas. Para preservar a "frente" e a aliança com as "forças progressistas", ofereceu apoio a Linhares e, posteriormente, a </w:t>
      </w:r>
      <w:proofErr w:type="spellStart"/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>Dutra.Afastou-se</w:t>
      </w:r>
      <w:proofErr w:type="spellEnd"/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Getúlio, acusando-o de ter traído o povo. Estranhamente, a esquerda tinha como linha política apoiar sempre a situação, evitando - parece - a qualquer custo passar para a oposição.</w:t>
      </w: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97050" cy="1265555"/>
            <wp:effectExtent l="0" t="0" r="0" b="0"/>
            <wp:docPr id="1" name="Imagem 1" descr="Redemocratização de 1946">
              <a:hlinkClick xmlns:a="http://schemas.openxmlformats.org/drawingml/2006/main" r:id="rId5" tgtFrame="&quot;_blank&quot;" tooltip="&quot;Redemocratização de 194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mocratização de 1946">
                      <a:hlinkClick r:id="rId5" tgtFrame="&quot;_blank&quot;" tooltip="&quot;Redemocratização de 194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87" w:rsidRPr="00D46F87" w:rsidRDefault="00D46F87" w:rsidP="00D46F8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D46F87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A persistência do Estado Novo</w:t>
      </w: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redemocratização ambicionada por toda a oposição </w:t>
      </w:r>
      <w:proofErr w:type="spellStart"/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>antigetulista</w:t>
      </w:r>
      <w:proofErr w:type="spellEnd"/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estava limitada desde o início, pois as forças políticas em jogo tinham sido formadas no seio do Estado Novo e não se haviam libertado do passado recente. Basta referir aqui o fato de o próprio Dutra ter sido ministro da Guerra de Getúlio. Dutra dependia de Vargas, uma vez que não podia governar senão com o apoio dos grandes partidos (PSD e PTB) formados por Getúlio no fim do Estado Novo.</w:t>
      </w: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persistência do Estado Novo foi favorecida ainda pela emergência do movimento operário, que retomou seu vigor no princípio do ano de 1946, sem, </w:t>
      </w:r>
      <w:proofErr w:type="gramStart"/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>todavia</w:t>
      </w:r>
      <w:proofErr w:type="gramEnd"/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encontrar ressonância nos partidos políticos organizados. Estes não possuíam a sabedoria de compreender que a verdadeira democracia tinha que passar pelo teste da incorporação das forças operárias. A cisão entre as elites políticas e a massa popular facilitou a adoção de medidas repressivas, próprias do Estado Novo: intervenções nos sindicatos, dispositivos legais que permitiam o controle e a repressão do operariado. Mesmo o PCB não soube canalizar as forças operárias, pois era adepto da "ordem e tranquilidade" e estava aquém da proposta do operariado.</w:t>
      </w:r>
    </w:p>
    <w:p w:rsidR="00D46F87" w:rsidRPr="00D46F87" w:rsidRDefault="00D46F87" w:rsidP="00D4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F87">
        <w:rPr>
          <w:rFonts w:ascii="Times New Roman" w:eastAsia="Times New Roman" w:hAnsi="Times New Roman" w:cs="Times New Roman"/>
          <w:sz w:val="24"/>
          <w:szCs w:val="24"/>
          <w:lang w:eastAsia="pt-BR"/>
        </w:rPr>
        <w:t>A alteração da conjuntura das relações internacionais, logo após o término da Segunda Guerra Mundial, também contribuiu para a manutenção de traços do Estado Novo. Com efeito, depois da derrota do nazi-fascismo, o declínio da Europa - antes, o centro hegemônico mundial - era evidente. O eixo das relações internacionais deslocou-se para as duas superpotências em ascensão: Estados Unidos e União Soviética. A relação bipolar que se impôs daria origem ao principal fenômeno do pós-guerra: a guerra fria.</w:t>
      </w:r>
    </w:p>
    <w:p w:rsidR="007F2B34" w:rsidRPr="00D46F87" w:rsidRDefault="00D46F87">
      <w:pPr>
        <w:rPr>
          <w:rFonts w:ascii="Times New Roman" w:hAnsi="Times New Roman" w:cs="Times New Roman"/>
        </w:rPr>
      </w:pPr>
    </w:p>
    <w:sectPr w:rsidR="007F2B34" w:rsidRPr="00D46F87" w:rsidSect="00D46F87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B1F"/>
    <w:multiLevelType w:val="multilevel"/>
    <w:tmpl w:val="42D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7"/>
    <w:rsid w:val="00AE675A"/>
    <w:rsid w:val="00D46F8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2B70"/>
  <w15:chartTrackingRefBased/>
  <w15:docId w15:val="{2430F088-265F-4157-8394-B016A8D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4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46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46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6F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46F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46F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6F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6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572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043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21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historia/a-redemocratizacao-de-19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2018-07-24T16:47:00Z</dcterms:created>
  <dcterms:modified xsi:type="dcterms:W3CDTF">2018-07-24T16:48:00Z</dcterms:modified>
</cp:coreProperties>
</file>