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BE" w:rsidRPr="002E67BE" w:rsidRDefault="002E67BE" w:rsidP="002E67B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2E67BE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Governo Artur Bernardes</w:t>
      </w:r>
    </w:p>
    <w:bookmarkEnd w:id="0"/>
    <w:p w:rsidR="002E67BE" w:rsidRPr="002E67BE" w:rsidRDefault="002E67BE" w:rsidP="002E67B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7BE">
        <w:rPr>
          <w:rFonts w:ascii="Times New Roman" w:eastAsia="Times New Roman" w:hAnsi="Times New Roman" w:cs="Times New Roman"/>
          <w:sz w:val="24"/>
          <w:szCs w:val="24"/>
          <w:lang w:eastAsia="pt-BR"/>
        </w:rPr>
        <w:t>No final do governo de </w:t>
      </w:r>
      <w:hyperlink r:id="rId4" w:history="1">
        <w:r w:rsidRPr="002E67B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>Epitácio Pessoa</w:t>
        </w:r>
      </w:hyperlink>
      <w:r w:rsidRPr="002E67BE">
        <w:rPr>
          <w:rFonts w:ascii="Times New Roman" w:eastAsia="Times New Roman" w:hAnsi="Times New Roman" w:cs="Times New Roman"/>
          <w:sz w:val="24"/>
          <w:szCs w:val="24"/>
          <w:lang w:eastAsia="pt-BR"/>
        </w:rPr>
        <w:t>, o Estado de São Paulo já estava anunciando a candidatura do candidato mineiro </w:t>
      </w:r>
      <w:r w:rsidRPr="002E67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Artur Bernardes</w:t>
      </w:r>
      <w:r w:rsidRPr="002E67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mantenho assim um compromisso dentro do sistema café-com-leite de alternância de poder. Na oposição a pessoa de Nilo Peçanha, </w:t>
      </w:r>
      <w:proofErr w:type="spellStart"/>
      <w:r w:rsidRPr="002E67BE">
        <w:rPr>
          <w:rFonts w:ascii="Times New Roman" w:eastAsia="Times New Roman" w:hAnsi="Times New Roman" w:cs="Times New Roman"/>
          <w:sz w:val="24"/>
          <w:szCs w:val="24"/>
          <w:lang w:eastAsia="pt-BR"/>
        </w:rPr>
        <w:t>ex</w:t>
      </w:r>
      <w:proofErr w:type="spellEnd"/>
      <w:r w:rsidRPr="002E67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Presidente, foi confirmada e logo em seguida derrotada.</w:t>
      </w:r>
    </w:p>
    <w:p w:rsidR="002E67BE" w:rsidRPr="002E67BE" w:rsidRDefault="002E67BE" w:rsidP="002E67BE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2E67BE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O Governo de Artur Bernardes</w:t>
      </w:r>
    </w:p>
    <w:p w:rsidR="002E67BE" w:rsidRPr="002E67BE" w:rsidRDefault="002E67BE" w:rsidP="002E67B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7BE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Artur Bernardes assumiu o cargo, em 1922, recebeu o país em crise. Para ser mais específico uma crise social, onde o país passava por várias rebeliões em virtude das agitações militares e econômicas, um abalo que teve como principal agente a crise econômica mundial, desencadeado pelo fim da Primeira Guerra Mundial.</w:t>
      </w:r>
    </w:p>
    <w:p w:rsidR="002E67BE" w:rsidRPr="002E67BE" w:rsidRDefault="002E67BE" w:rsidP="002E67B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7BE">
        <w:rPr>
          <w:rFonts w:ascii="Times New Roman" w:eastAsia="Times New Roman" w:hAnsi="Times New Roman" w:cs="Times New Roman"/>
          <w:sz w:val="24"/>
          <w:szCs w:val="24"/>
          <w:lang w:eastAsia="pt-BR"/>
        </w:rPr>
        <w:t>Dessa maneira o presidente mineiro só pode governar o país com o uso do dispositivo constitucional chamado de “Estado de Sitio”, que ampliou os poderes do Executivo federal em relação às liberdades e os direitos individuais.</w:t>
      </w:r>
    </w:p>
    <w:p w:rsidR="002E67BE" w:rsidRPr="002E67BE" w:rsidRDefault="002E67BE" w:rsidP="002E67B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7BE">
        <w:rPr>
          <w:rFonts w:ascii="Times New Roman" w:eastAsia="Times New Roman" w:hAnsi="Times New Roman" w:cs="Times New Roman"/>
          <w:sz w:val="24"/>
          <w:szCs w:val="24"/>
          <w:lang w:eastAsia="pt-BR"/>
        </w:rPr>
        <w:t>Governando sob Estado de Sitio, Artur Bernardes usou os amplos poderes que dispunha na situação para neutralizar os opositores do seu governo. Restringia a liberdade de imprensa e os direitos individuais, além de “desmontar” as máquinas administrativas dos governos Estaduais que eram considerados, por ele, como inimigos políticos.</w:t>
      </w:r>
    </w:p>
    <w:p w:rsidR="002E67BE" w:rsidRPr="002E67BE" w:rsidRDefault="002E67BE" w:rsidP="002E67B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7BE">
        <w:rPr>
          <w:rFonts w:ascii="Times New Roman" w:eastAsia="Times New Roman" w:hAnsi="Times New Roman" w:cs="Times New Roman"/>
          <w:sz w:val="24"/>
          <w:szCs w:val="24"/>
          <w:lang w:eastAsia="pt-BR"/>
        </w:rPr>
        <w:t>Essa medida gerou um grande descontentamento das elites agrárias menos influentes que se encontravam fora do pacto café-com-leite, como o Rio Grande do Sul, por exemplo. O Estado sulista acabou se distanciando aos poucos dos grupos ligados ao poder (mineiros e paulistas) e se organizando politicamente para se opor politicamente.</w:t>
      </w:r>
    </w:p>
    <w:p w:rsidR="002E67BE" w:rsidRPr="002E67BE" w:rsidRDefault="002E67BE" w:rsidP="002E67B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7B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477135" cy="3710940"/>
            <wp:effectExtent l="0" t="0" r="0" b="3810"/>
            <wp:docPr id="1" name="Imagem 1" descr="Artur Bernar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ur Bernard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7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Esse grupo dissidente acaba buscando apoio para se fortificar e solidificar. A partir disso encontraram um forte apoio dos jovens militares, os tenentes, e assim </w:t>
      </w:r>
      <w:proofErr w:type="gramStart"/>
      <w:r w:rsidRPr="002E67BE">
        <w:rPr>
          <w:rFonts w:ascii="Times New Roman" w:eastAsia="Times New Roman" w:hAnsi="Times New Roman" w:cs="Times New Roman"/>
          <w:sz w:val="24"/>
          <w:szCs w:val="24"/>
          <w:lang w:eastAsia="pt-BR"/>
        </w:rPr>
        <w:t>começaram</w:t>
      </w:r>
      <w:proofErr w:type="gramEnd"/>
      <w:r w:rsidRPr="002E67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apoiar os movimentos tenentistas que eclodiriam mais uma vez.</w:t>
      </w:r>
    </w:p>
    <w:p w:rsidR="002E67BE" w:rsidRPr="002E67BE" w:rsidRDefault="002E67BE" w:rsidP="002E67B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7B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As revoltas armadas promovidas pelos tenentes vão se tornando mais frequentes e mais organizadas a ponto de levar o Brasil em uma Guerra Civil. No ano de 1922, no Rio de Janeiro, eclodiu a primeira insurreição a “Revolta do Forte de Copacabana”. E logo depois várias insurreições surgiram.</w:t>
      </w:r>
    </w:p>
    <w:p w:rsidR="002E67BE" w:rsidRPr="002E67BE" w:rsidRDefault="002E67BE" w:rsidP="002E67B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7BE">
        <w:rPr>
          <w:rFonts w:ascii="Times New Roman" w:eastAsia="Times New Roman" w:hAnsi="Times New Roman" w:cs="Times New Roman"/>
          <w:sz w:val="24"/>
          <w:szCs w:val="24"/>
          <w:lang w:eastAsia="pt-BR"/>
        </w:rPr>
        <w:t>Os tenentes exigiam a renúncia do Presidente Artur Bernardes, a formação de um governo provisório, a eleição de uma Assembleia Constituinte e a adoção do voto secreto.</w:t>
      </w:r>
    </w:p>
    <w:p w:rsidR="002E67BE" w:rsidRPr="002E67BE" w:rsidRDefault="002E67BE" w:rsidP="002E67B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7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controlar essas rebeliões, o Presidente organizou tropas militares que eram fiéis ao governo federal para enfrentar os revoltosos. Com a chegada da tropa ao estado de São Paulo, os revoltosos foram obrigados a se retirar para o interior do Estado, quando, na região de Foz do Iguaçu, os tenentes paulistas aliaram-se a um outro grupo de militares que também se opunham ao governo federal e que era chefiado por </w:t>
      </w:r>
      <w:proofErr w:type="spellStart"/>
      <w:r w:rsidRPr="002E67BE">
        <w:rPr>
          <w:rFonts w:ascii="Times New Roman" w:eastAsia="Times New Roman" w:hAnsi="Times New Roman" w:cs="Times New Roman"/>
          <w:sz w:val="24"/>
          <w:szCs w:val="24"/>
          <w:lang w:eastAsia="pt-BR"/>
        </w:rPr>
        <w:t>Luis</w:t>
      </w:r>
      <w:proofErr w:type="spellEnd"/>
      <w:r w:rsidRPr="002E67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Carlos Prestes, a </w:t>
      </w:r>
      <w:hyperlink r:id="rId6" w:history="1">
        <w:r w:rsidRPr="002E67B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>Coluna Prestes</w:t>
        </w:r>
      </w:hyperlink>
      <w:r w:rsidRPr="002E67B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E67BE" w:rsidRPr="002E67BE" w:rsidRDefault="002E67BE" w:rsidP="002E67BE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2E67BE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Término do Governo:</w:t>
      </w:r>
    </w:p>
    <w:p w:rsidR="002E67BE" w:rsidRPr="002E67BE" w:rsidRDefault="002E67BE" w:rsidP="002E67B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7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Mesmo com vários problemas que teria que enfrentar, Artur Bernardes conseguiu terminar o mandato e, principalmente, eleger um presidente dentro dos moldes café-com-leite. Seu sucessor foi Washington </w:t>
      </w:r>
      <w:proofErr w:type="spellStart"/>
      <w:r w:rsidRPr="002E67BE">
        <w:rPr>
          <w:rFonts w:ascii="Times New Roman" w:eastAsia="Times New Roman" w:hAnsi="Times New Roman" w:cs="Times New Roman"/>
          <w:sz w:val="24"/>
          <w:szCs w:val="24"/>
          <w:lang w:eastAsia="pt-BR"/>
        </w:rPr>
        <w:t>Luis</w:t>
      </w:r>
      <w:proofErr w:type="spellEnd"/>
      <w:r w:rsidRPr="002E67BE">
        <w:rPr>
          <w:rFonts w:ascii="Times New Roman" w:eastAsia="Times New Roman" w:hAnsi="Times New Roman" w:cs="Times New Roman"/>
          <w:sz w:val="24"/>
          <w:szCs w:val="24"/>
          <w:lang w:eastAsia="pt-BR"/>
        </w:rPr>
        <w:t>, político carioca que atuava ativamente em São Paulo, se considerando um Paulista.</w:t>
      </w:r>
    </w:p>
    <w:p w:rsidR="007F2B34" w:rsidRPr="002E67BE" w:rsidRDefault="002E67BE" w:rsidP="002E67BE">
      <w:pPr>
        <w:jc w:val="both"/>
        <w:rPr>
          <w:rFonts w:ascii="Times New Roman" w:hAnsi="Times New Roman" w:cs="Times New Roman"/>
        </w:rPr>
      </w:pPr>
    </w:p>
    <w:sectPr w:rsidR="007F2B34" w:rsidRPr="002E67BE" w:rsidSect="002E67BE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BE"/>
    <w:rsid w:val="002E67BE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ABB6"/>
  <w15:chartTrackingRefBased/>
  <w15:docId w15:val="{9635B3B9-DCE6-4DD3-9439-7AE2CB43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E6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E6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67B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E67B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E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E67B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E6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ladaweb.com/historia-do-brasil/coluna-prest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coladaweb.com/historia-do-brasil/governo-epitacio-pesso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2018-06-01T17:19:00Z</dcterms:created>
  <dcterms:modified xsi:type="dcterms:W3CDTF">2018-06-01T17:20:00Z</dcterms:modified>
</cp:coreProperties>
</file>