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46F" w:rsidRPr="009E546F" w:rsidRDefault="009E546F" w:rsidP="009E546F">
      <w:pPr>
        <w:rPr>
          <w:rFonts w:ascii="Times New Roman" w:hAnsi="Times New Roman" w:cs="Times New Roman"/>
          <w:b/>
          <w:sz w:val="44"/>
        </w:rPr>
      </w:pPr>
      <w:r w:rsidRPr="009E546F">
        <w:rPr>
          <w:rFonts w:ascii="Times New Roman" w:hAnsi="Times New Roman" w:cs="Times New Roman"/>
          <w:b/>
          <w:sz w:val="44"/>
        </w:rPr>
        <w:t>VITAMINA B5</w:t>
      </w:r>
    </w:p>
    <w:p w:rsidR="009E546F" w:rsidRPr="009E546F" w:rsidRDefault="009E546F" w:rsidP="009E546F">
      <w:pPr>
        <w:rPr>
          <w:rFonts w:ascii="Times New Roman" w:hAnsi="Times New Roman" w:cs="Times New Roman"/>
          <w:sz w:val="24"/>
        </w:rPr>
      </w:pPr>
      <w:r w:rsidRPr="009E546F">
        <w:rPr>
          <w:rFonts w:ascii="Times New Roman" w:hAnsi="Times New Roman" w:cs="Times New Roman"/>
          <w:sz w:val="24"/>
        </w:rPr>
        <w:t>(Faz parte do complexo B)</w:t>
      </w:r>
      <w:bookmarkStart w:id="0" w:name="_GoBack"/>
      <w:bookmarkEnd w:id="0"/>
    </w:p>
    <w:p w:rsidR="009E546F" w:rsidRPr="009E546F" w:rsidRDefault="009E546F" w:rsidP="009E546F">
      <w:pPr>
        <w:rPr>
          <w:rFonts w:ascii="Times New Roman" w:hAnsi="Times New Roman" w:cs="Times New Roman"/>
          <w:sz w:val="24"/>
        </w:rPr>
      </w:pPr>
      <w:r w:rsidRPr="009E546F">
        <w:rPr>
          <w:rFonts w:ascii="Times New Roman" w:hAnsi="Times New Roman" w:cs="Times New Roman"/>
          <w:sz w:val="24"/>
        </w:rPr>
        <w:t>Sinonímia: Pantotenato, ácido pantotênico.</w:t>
      </w:r>
    </w:p>
    <w:p w:rsidR="009E546F" w:rsidRPr="009E546F" w:rsidRDefault="009E546F" w:rsidP="009E546F">
      <w:pPr>
        <w:rPr>
          <w:rFonts w:ascii="Times New Roman" w:hAnsi="Times New Roman" w:cs="Times New Roman"/>
          <w:sz w:val="24"/>
        </w:rPr>
      </w:pPr>
      <w:r w:rsidRPr="009E546F">
        <w:rPr>
          <w:rFonts w:ascii="Times New Roman" w:hAnsi="Times New Roman" w:cs="Times New Roman"/>
          <w:sz w:val="24"/>
        </w:rPr>
        <w:t>5.1 FUNÇÃO</w:t>
      </w:r>
    </w:p>
    <w:p w:rsidR="009E546F" w:rsidRPr="009E546F" w:rsidRDefault="009E546F" w:rsidP="009E546F">
      <w:pPr>
        <w:rPr>
          <w:rFonts w:ascii="Times New Roman" w:hAnsi="Times New Roman" w:cs="Times New Roman"/>
          <w:sz w:val="24"/>
        </w:rPr>
      </w:pPr>
      <w:r w:rsidRPr="009E546F">
        <w:rPr>
          <w:rFonts w:ascii="Times New Roman" w:hAnsi="Times New Roman" w:cs="Times New Roman"/>
          <w:sz w:val="24"/>
        </w:rPr>
        <w:t>Auxilia o metabolismo em geral. O Pantenol, forma alcoólica ativa do ácido pantotênico do grupo da coenzima A, e uma substância que apresenta papel dos mais importantes na regulação dos processos de suprimento de energia. Ele acha-se fixado em cada célula viva e, por conseguinte, promovendo o desenvolvimento, função e reprodução dos tecidos endoteliais e epiteliais. Combate as infecções produzindo anticorpos. Evita a fadiga, reduz os efeitos adversos e tóxicos de muitos antibióticos. A glândula supra renal e o sistema nervoso dependem dele. Auxilia na construção da célula e manutenção normal do crescimento. Útil no controle do stress físico e mental.</w:t>
      </w:r>
    </w:p>
    <w:p w:rsidR="009E546F" w:rsidRPr="009E546F" w:rsidRDefault="009E546F" w:rsidP="009E546F">
      <w:pPr>
        <w:rPr>
          <w:rFonts w:ascii="Times New Roman" w:hAnsi="Times New Roman" w:cs="Times New Roman"/>
          <w:sz w:val="24"/>
        </w:rPr>
      </w:pPr>
      <w:r w:rsidRPr="009E546F">
        <w:rPr>
          <w:rFonts w:ascii="Times New Roman" w:hAnsi="Times New Roman" w:cs="Times New Roman"/>
          <w:sz w:val="24"/>
        </w:rPr>
        <w:t>A coenzima A apresenta também importância no metabolismo pela liberação de energia dos glicídios, lipídios e proteínas e também na síntese de aminoácidos, ácidos graxos, esteróis e hormônios esteróides, assim como elemento essencial para a formação da porfirina, porção pigmentar da molécula da hemoglobina.</w:t>
      </w:r>
    </w:p>
    <w:p w:rsidR="009E546F" w:rsidRPr="009E546F" w:rsidRDefault="009E546F" w:rsidP="009E546F">
      <w:pPr>
        <w:rPr>
          <w:rFonts w:ascii="Times New Roman" w:hAnsi="Times New Roman" w:cs="Times New Roman"/>
          <w:sz w:val="24"/>
        </w:rPr>
      </w:pPr>
      <w:r w:rsidRPr="009E546F">
        <w:rPr>
          <w:rFonts w:ascii="Times New Roman" w:hAnsi="Times New Roman" w:cs="Times New Roman"/>
          <w:sz w:val="24"/>
        </w:rPr>
        <w:t>5.2 CLASSIFICAÇÃO</w:t>
      </w:r>
    </w:p>
    <w:p w:rsidR="009E546F" w:rsidRPr="009E546F" w:rsidRDefault="009E546F" w:rsidP="009E546F">
      <w:pPr>
        <w:rPr>
          <w:rFonts w:ascii="Times New Roman" w:hAnsi="Times New Roman" w:cs="Times New Roman"/>
          <w:sz w:val="24"/>
        </w:rPr>
      </w:pPr>
      <w:r w:rsidRPr="009E546F">
        <w:rPr>
          <w:rFonts w:ascii="Times New Roman" w:hAnsi="Times New Roman" w:cs="Times New Roman"/>
          <w:sz w:val="24"/>
        </w:rPr>
        <w:t>Hidrossolúvel</w:t>
      </w:r>
    </w:p>
    <w:p w:rsidR="009E546F" w:rsidRPr="009E546F" w:rsidRDefault="009E546F" w:rsidP="009E546F">
      <w:pPr>
        <w:rPr>
          <w:rFonts w:ascii="Times New Roman" w:hAnsi="Times New Roman" w:cs="Times New Roman"/>
          <w:sz w:val="24"/>
        </w:rPr>
      </w:pPr>
      <w:r w:rsidRPr="009E546F">
        <w:rPr>
          <w:rFonts w:ascii="Times New Roman" w:hAnsi="Times New Roman" w:cs="Times New Roman"/>
          <w:sz w:val="24"/>
        </w:rPr>
        <w:t>5.3 METABOLISMO</w:t>
      </w:r>
    </w:p>
    <w:p w:rsidR="009E546F" w:rsidRPr="009E546F" w:rsidRDefault="009E546F" w:rsidP="009E546F">
      <w:pPr>
        <w:rPr>
          <w:rFonts w:ascii="Times New Roman" w:hAnsi="Times New Roman" w:cs="Times New Roman"/>
          <w:sz w:val="24"/>
        </w:rPr>
      </w:pPr>
      <w:r w:rsidRPr="009E546F">
        <w:rPr>
          <w:rFonts w:ascii="Times New Roman" w:hAnsi="Times New Roman" w:cs="Times New Roman"/>
          <w:sz w:val="24"/>
        </w:rPr>
        <w:t>O ácido pantogênico administrado pela via oral é completamente absorvido no intestino delgado, e em pequena extensão aparentemente também no estômago, sendo inicialmente convertido em forma livre por subdivisão enzimática. O próprio processo de absorção á aparentemente baseado na difusão passiva, sendo o mesmo processo para a absorção do pantenol que é oxidado em óxido pantogênico no organismo.</w:t>
      </w:r>
    </w:p>
    <w:p w:rsidR="009E546F" w:rsidRPr="009E546F" w:rsidRDefault="009E546F" w:rsidP="009E546F">
      <w:pPr>
        <w:rPr>
          <w:rFonts w:ascii="Times New Roman" w:hAnsi="Times New Roman" w:cs="Times New Roman"/>
          <w:sz w:val="24"/>
        </w:rPr>
      </w:pPr>
      <w:r w:rsidRPr="009E546F">
        <w:rPr>
          <w:rFonts w:ascii="Times New Roman" w:hAnsi="Times New Roman" w:cs="Times New Roman"/>
          <w:sz w:val="24"/>
        </w:rPr>
        <w:t>Considerando a entrada e a excreção iguais, pode-se assinalar que o ácido pantotênico não é degradado no organismo, atingindo a excreção urinária cerca de 60 a 70% da quantidade administrada oralmente, sendo o restante excretado pelas fezes.</w:t>
      </w:r>
    </w:p>
    <w:p w:rsidR="009E546F" w:rsidRPr="009E546F" w:rsidRDefault="009E546F" w:rsidP="009E546F">
      <w:pPr>
        <w:rPr>
          <w:rFonts w:ascii="Times New Roman" w:hAnsi="Times New Roman" w:cs="Times New Roman"/>
          <w:sz w:val="24"/>
        </w:rPr>
      </w:pPr>
      <w:r w:rsidRPr="009E546F">
        <w:rPr>
          <w:rFonts w:ascii="Times New Roman" w:hAnsi="Times New Roman" w:cs="Times New Roman"/>
          <w:sz w:val="24"/>
        </w:rPr>
        <w:t>O ácido pantogênico é sintetizado no intestino grosso pela flora intestinal.desde que o ácido pantotênico acha-se fixado em todas as células, as necessidades são fornecidas pelas quantidades normais de todos os alimentos.</w:t>
      </w:r>
    </w:p>
    <w:p w:rsidR="009E546F" w:rsidRPr="009E546F" w:rsidRDefault="009E546F" w:rsidP="009E546F">
      <w:pPr>
        <w:rPr>
          <w:rFonts w:ascii="Times New Roman" w:hAnsi="Times New Roman" w:cs="Times New Roman"/>
          <w:sz w:val="24"/>
        </w:rPr>
      </w:pPr>
      <w:r w:rsidRPr="009E546F">
        <w:rPr>
          <w:rFonts w:ascii="Times New Roman" w:hAnsi="Times New Roman" w:cs="Times New Roman"/>
          <w:sz w:val="24"/>
        </w:rPr>
        <w:t>5.4 DEFICIÊNCIA</w:t>
      </w:r>
    </w:p>
    <w:p w:rsidR="009E546F" w:rsidRPr="009E546F" w:rsidRDefault="009E546F" w:rsidP="009E546F">
      <w:pPr>
        <w:rPr>
          <w:rFonts w:ascii="Times New Roman" w:hAnsi="Times New Roman" w:cs="Times New Roman"/>
          <w:sz w:val="24"/>
        </w:rPr>
      </w:pPr>
      <w:r w:rsidRPr="009E546F">
        <w:rPr>
          <w:rFonts w:ascii="Times New Roman" w:hAnsi="Times New Roman" w:cs="Times New Roman"/>
          <w:sz w:val="24"/>
        </w:rPr>
        <w:t>Manifesta-se por degeneração muscular, deficiência adrenocortical e hemorragia, dermatite, queratite, parada do crescimento e morte nos animais. No homem, a sua deficiência não tem sido reconhecida com uma dieta comum, presumivelmente por causa da grande ocorrência da vitamina nos alimentos comuns. No homem, apenas a denominada síndrome “ardor nos pés”, caracterizada por formigamento nos pés e parestesias, hiperestesias, e distúrbios circulatórios nas pernas, supõe-se estar ligados à deficiência de ácido pantotênico. Causa fadiga, fraqueza muscular, perturbações nervosas, anorexia, diminuição da pressão sangüínea. Distúrbios cutâneos.</w:t>
      </w:r>
    </w:p>
    <w:p w:rsidR="009E546F" w:rsidRPr="009E546F" w:rsidRDefault="009E546F" w:rsidP="009E546F">
      <w:pPr>
        <w:rPr>
          <w:rFonts w:ascii="Times New Roman" w:hAnsi="Times New Roman" w:cs="Times New Roman"/>
          <w:sz w:val="24"/>
        </w:rPr>
      </w:pPr>
      <w:r w:rsidRPr="009E546F">
        <w:rPr>
          <w:rFonts w:ascii="Times New Roman" w:hAnsi="Times New Roman" w:cs="Times New Roman"/>
          <w:sz w:val="24"/>
        </w:rPr>
        <w:t>5.5 EXCESSO</w:t>
      </w:r>
    </w:p>
    <w:p w:rsidR="009E546F" w:rsidRPr="009E546F" w:rsidRDefault="009E546F" w:rsidP="009E546F">
      <w:pPr>
        <w:rPr>
          <w:rFonts w:ascii="Times New Roman" w:hAnsi="Times New Roman" w:cs="Times New Roman"/>
          <w:sz w:val="24"/>
        </w:rPr>
      </w:pPr>
      <w:r w:rsidRPr="009E546F">
        <w:rPr>
          <w:rFonts w:ascii="Times New Roman" w:hAnsi="Times New Roman" w:cs="Times New Roman"/>
          <w:sz w:val="24"/>
        </w:rPr>
        <w:t>Quando ingeridas em excesso, são facilmente excretadas pela urina e, assim devem ser continuamente supridas na dieta.</w:t>
      </w:r>
    </w:p>
    <w:p w:rsidR="009E546F" w:rsidRPr="009E546F" w:rsidRDefault="009E546F" w:rsidP="009E546F">
      <w:pPr>
        <w:rPr>
          <w:rFonts w:ascii="Times New Roman" w:hAnsi="Times New Roman" w:cs="Times New Roman"/>
          <w:sz w:val="24"/>
        </w:rPr>
      </w:pPr>
      <w:r w:rsidRPr="009E546F">
        <w:rPr>
          <w:rFonts w:ascii="Times New Roman" w:hAnsi="Times New Roman" w:cs="Times New Roman"/>
          <w:sz w:val="24"/>
        </w:rPr>
        <w:t>5.6 FONTES</w:t>
      </w:r>
    </w:p>
    <w:p w:rsidR="009E546F" w:rsidRPr="009E546F" w:rsidRDefault="009E546F" w:rsidP="009E546F">
      <w:pPr>
        <w:rPr>
          <w:rFonts w:ascii="Times New Roman" w:hAnsi="Times New Roman" w:cs="Times New Roman"/>
          <w:sz w:val="24"/>
        </w:rPr>
      </w:pPr>
      <w:r w:rsidRPr="009E546F">
        <w:rPr>
          <w:rFonts w:ascii="Times New Roman" w:hAnsi="Times New Roman" w:cs="Times New Roman"/>
          <w:sz w:val="24"/>
        </w:rPr>
        <w:t>Fígado, rim, coração, leveduras, ovos, leite, língua de boi, trigo, centeio, farinha de soja, brócolos, batata, cogumelos.</w:t>
      </w:r>
    </w:p>
    <w:p w:rsidR="00D7128A" w:rsidRPr="009E546F" w:rsidRDefault="009E546F" w:rsidP="009E546F">
      <w:pPr>
        <w:rPr>
          <w:rFonts w:ascii="Times New Roman" w:hAnsi="Times New Roman" w:cs="Times New Roman"/>
          <w:sz w:val="24"/>
        </w:rPr>
      </w:pPr>
    </w:p>
    <w:p w:rsidR="009E546F" w:rsidRPr="009E546F" w:rsidRDefault="009E546F" w:rsidP="009E546F">
      <w:pPr>
        <w:rPr>
          <w:rFonts w:ascii="Times New Roman" w:hAnsi="Times New Roman" w:cs="Times New Roman"/>
          <w:sz w:val="28"/>
        </w:rPr>
      </w:pPr>
    </w:p>
    <w:sectPr w:rsidR="009E546F" w:rsidRPr="009E546F" w:rsidSect="009E546F">
      <w:pgSz w:w="11906" w:h="16838"/>
      <w:pgMar w:top="284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6F"/>
    <w:rsid w:val="001515F3"/>
    <w:rsid w:val="004D355B"/>
    <w:rsid w:val="009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80C28-0A84-4E8C-9EFA-BBE9E404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54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546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DefaultParagraphFont"/>
    <w:uiPriority w:val="99"/>
    <w:unhideWhenUsed/>
    <w:rsid w:val="009E546F"/>
    <w:rPr>
      <w:color w:val="0000FF"/>
      <w:u w:val="single"/>
    </w:rPr>
  </w:style>
  <w:style w:type="character" w:customStyle="1" w:styleId="td-post-date">
    <w:name w:val="td-post-date"/>
    <w:basedOn w:val="DefaultParagraphFont"/>
    <w:rsid w:val="009E546F"/>
  </w:style>
  <w:style w:type="character" w:customStyle="1" w:styleId="td-nr-views-1342">
    <w:name w:val="td-nr-views-1342"/>
    <w:basedOn w:val="DefaultParagraphFont"/>
    <w:rsid w:val="009E546F"/>
  </w:style>
  <w:style w:type="paragraph" w:styleId="NormalWeb">
    <w:name w:val="Normal (Web)"/>
    <w:basedOn w:val="Normal"/>
    <w:uiPriority w:val="99"/>
    <w:semiHidden/>
    <w:unhideWhenUsed/>
    <w:rsid w:val="009E5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7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159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9133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54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58591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26539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489631">
                          <w:marLeft w:val="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73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3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966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3923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620695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2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7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2018-04-02T16:14:00Z</dcterms:created>
  <dcterms:modified xsi:type="dcterms:W3CDTF">2018-04-02T16:15:00Z</dcterms:modified>
</cp:coreProperties>
</file>