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6E" w:rsidRPr="00434D6E" w:rsidRDefault="00434D6E" w:rsidP="00434D6E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434D6E">
        <w:rPr>
          <w:rFonts w:ascii="Times New Roman" w:hAnsi="Times New Roman" w:cs="Times New Roman"/>
          <w:b/>
          <w:sz w:val="44"/>
        </w:rPr>
        <w:t>TRATADO DE MADRID E DE AYACUCHO</w:t>
      </w:r>
    </w:p>
    <w:bookmarkEnd w:id="0"/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>As fronteiras brasileiras</w:t>
      </w:r>
      <w:r w:rsidRPr="00434D6E">
        <w:rPr>
          <w:rFonts w:ascii="Times New Roman" w:hAnsi="Times New Roman" w:cs="Times New Roman"/>
          <w:sz w:val="24"/>
        </w:rPr>
        <w:br/>
        <w:t>Portugal e Espanha brigam por colônias na América do Sul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drawing>
          <wp:inline distT="0" distB="0" distL="0" distR="0">
            <wp:extent cx="5267325" cy="5715000"/>
            <wp:effectExtent l="0" t="0" r="9525" b="0"/>
            <wp:docPr id="3" name="Imagem 3" descr="http://www.trabalhosescolares.net/img/tratado_madri_mapa_das_cortes_1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balhosescolares.net/img/tratado_madri_mapa_das_cortes_174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D6E">
        <w:rPr>
          <w:rFonts w:ascii="Times New Roman" w:hAnsi="Times New Roman" w:cs="Times New Roman"/>
          <w:sz w:val="24"/>
        </w:rPr>
        <w:br/>
        <w:t>Mapa das cortes, 1749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A divisão das colônias de Espanha e Portugal na América do Sul gerou disputas e conflitos ao longo de boa parte de nossa história colonial. A linha de Tordesilhas, que oficialmente demarcava a fronteira entre essas possessões, nunca foi respeitada de fato. No século XVIII, no entanto, a solução para essas questões tornou-se uma </w:t>
      </w:r>
      <w:proofErr w:type="spellStart"/>
      <w:r w:rsidRPr="00434D6E">
        <w:rPr>
          <w:rFonts w:ascii="Times New Roman" w:hAnsi="Times New Roman" w:cs="Times New Roman"/>
          <w:sz w:val="24"/>
        </w:rPr>
        <w:t>neces-sidade</w:t>
      </w:r>
      <w:proofErr w:type="spellEnd"/>
      <w:r w:rsidRPr="00434D6E">
        <w:rPr>
          <w:rFonts w:ascii="Times New Roman" w:hAnsi="Times New Roman" w:cs="Times New Roman"/>
          <w:sz w:val="24"/>
        </w:rPr>
        <w:t xml:space="preserve"> e fez com que Portugal e Espanha decidissem elaborar um Tratado que resolvesse definitivamente o problema. Tinha início aí, sem que se soubesse ainda, a questão acreana.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>O Tratado de Madrid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>O Tratado de Madrid foi elaborado a partir do Mapa das Cortes e beneficiou as colônias portuguesas, em detrimento dos direitos espanhóis. A habilidade dos diplomatas portugueses – que estabeleceram o princípio do Uti Possidetis como base para a divisão territorial – colaborou para a vitória portuguesa. Foi valendo-se desse princípio, que estabelecia que a terra deveria ser possuída pelos que nela moravam e trabalhavam, que os portugueses puderam consolidar sua presença no imenso território que hoje constitui o Brasil.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4476750" cy="3219450"/>
            <wp:effectExtent l="0" t="0" r="0" b="0"/>
            <wp:docPr id="2" name="Imagem 2" descr="http://www.trabalhosescolares.net/img/tratado_madri_tratado_de_Ayac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balhosescolares.net/img/tratado_madri_tratado_de_Ayacuc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>Vale ressaltar que, em meados do século XVIII, pouco se conhecia sobre o interior do continente americano e, menos ainda, sobre a Amazônia. Os únicos cursos d’água conhecidos na região eram os Rios Madeira e Javari, que serviram como referência para a fronteira sul da Amazônia Ocidental.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Pelo Tratado de Madrid, a linha fronteiriça entre as possessões espanholas e portuguesas deveria partir do ponto mediano entre a foz do Rio Madeira e a foz do Rio </w:t>
      </w:r>
      <w:proofErr w:type="gramStart"/>
      <w:r w:rsidRPr="00434D6E">
        <w:rPr>
          <w:rFonts w:ascii="Times New Roman" w:hAnsi="Times New Roman" w:cs="Times New Roman"/>
          <w:sz w:val="24"/>
        </w:rPr>
        <w:t>Mamoré ,</w:t>
      </w:r>
      <w:proofErr w:type="gramEnd"/>
      <w:r w:rsidRPr="00434D6E">
        <w:rPr>
          <w:rFonts w:ascii="Times New Roman" w:hAnsi="Times New Roman" w:cs="Times New Roman"/>
          <w:sz w:val="24"/>
        </w:rPr>
        <w:t xml:space="preserve"> seguindo por uma linha reta até encontrar a margem do rio Javari, aproximadamente na latitude de 6º e 40’ Sul. Era o nascimento da linha imaginária que, no futuro, causaria tantas polêmicas.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>Destratando os Tratados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As mudanças ocorridas nos diversos aspectos econômicos, políticos e sociais dos países envolvidos com a colonização americana levaram Portugal e Espanha a muitas idas e vindas </w:t>
      </w:r>
      <w:proofErr w:type="spellStart"/>
      <w:r w:rsidRPr="00434D6E">
        <w:rPr>
          <w:rFonts w:ascii="Times New Roman" w:hAnsi="Times New Roman" w:cs="Times New Roman"/>
          <w:sz w:val="24"/>
        </w:rPr>
        <w:t>naquestão</w:t>
      </w:r>
      <w:proofErr w:type="spellEnd"/>
      <w:r w:rsidRPr="00434D6E">
        <w:rPr>
          <w:rFonts w:ascii="Times New Roman" w:hAnsi="Times New Roman" w:cs="Times New Roman"/>
          <w:sz w:val="24"/>
        </w:rPr>
        <w:t xml:space="preserve"> das fronteiras. Assim, o Tratado de Pardo, de 1761, anulou o que havia sido acertado em Madrid; </w:t>
      </w:r>
      <w:proofErr w:type="gramStart"/>
      <w:r w:rsidRPr="00434D6E">
        <w:rPr>
          <w:rFonts w:ascii="Times New Roman" w:hAnsi="Times New Roman" w:cs="Times New Roman"/>
          <w:sz w:val="24"/>
        </w:rPr>
        <w:t>Em</w:t>
      </w:r>
      <w:proofErr w:type="gramEnd"/>
      <w:r w:rsidRPr="00434D6E">
        <w:rPr>
          <w:rFonts w:ascii="Times New Roman" w:hAnsi="Times New Roman" w:cs="Times New Roman"/>
          <w:sz w:val="24"/>
        </w:rPr>
        <w:t xml:space="preserve"> 1777, o Tratado de Santo Ildefonso arremedou algumas conquistas obtidas em Madrid e restaurou a linha divisória entre o Madeira e o Javari, como havia sido estabelecida em 1750.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O Tratado de </w:t>
      </w:r>
      <w:proofErr w:type="spellStart"/>
      <w:r w:rsidRPr="00434D6E">
        <w:rPr>
          <w:rFonts w:ascii="Times New Roman" w:hAnsi="Times New Roman" w:cs="Times New Roman"/>
          <w:sz w:val="24"/>
        </w:rPr>
        <w:t>Ayacucho</w:t>
      </w:r>
      <w:proofErr w:type="spellEnd"/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5715000" cy="4133850"/>
            <wp:effectExtent l="0" t="0" r="0" b="0"/>
            <wp:docPr id="1" name="Imagem 1" descr="http://www.trabalhosescolares.net/img/tratado_madri_assinatura_tratado_ayac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balhosescolares.net/img/tratado_madri_assinatura_tratado_ayacuc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Nas primeiras décadas do século XIX, o contexto histórico latino-americano havia se alterado profundamente. As ex-colônias espanholas e portuguesas tornaram-se países independentes e as questões fronteiriças ganharam conotações inéditas. Foi nesta nova situação que Brasil e Bolívia negociaram o Tratado de </w:t>
      </w:r>
      <w:proofErr w:type="spellStart"/>
      <w:r w:rsidRPr="00434D6E">
        <w:rPr>
          <w:rFonts w:ascii="Times New Roman" w:hAnsi="Times New Roman" w:cs="Times New Roman"/>
          <w:sz w:val="24"/>
        </w:rPr>
        <w:t>Ayacucho</w:t>
      </w:r>
      <w:proofErr w:type="spellEnd"/>
      <w:r w:rsidRPr="00434D6E">
        <w:rPr>
          <w:rFonts w:ascii="Times New Roman" w:hAnsi="Times New Roman" w:cs="Times New Roman"/>
          <w:sz w:val="24"/>
        </w:rPr>
        <w:t>, assinado em 1867.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>Os brasileiros negociaram esse tratado, sujeitos a pressões exercidas pela Bolívia durante a Guerra do Paraguai, que estava mobilizando todos os recursos bélicos e financeiros do Brasil. Ainda assim, a diplomacia brasileira soube se aproveitar da fragilidade congênita da Bolívia para tirar vantagens.</w:t>
      </w:r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Como o povoamento brasileiro já havia penetrado nos rios Madeira, Purus e Juruá, os negociadores do Brasil procuraram empurrar a linha divisória mais para o sul, estabelecendo que o ponto inicial da fronteira seria agora a confluência dos rios Beni e Mamoré, onde se iniciava o Madeira. A partir </w:t>
      </w:r>
      <w:proofErr w:type="gramStart"/>
      <w:r w:rsidRPr="00434D6E">
        <w:rPr>
          <w:rFonts w:ascii="Times New Roman" w:hAnsi="Times New Roman" w:cs="Times New Roman"/>
          <w:sz w:val="24"/>
        </w:rPr>
        <w:t>daí, o</w:t>
      </w:r>
      <w:proofErr w:type="gramEnd"/>
      <w:r w:rsidRPr="00434D6E">
        <w:rPr>
          <w:rFonts w:ascii="Times New Roman" w:hAnsi="Times New Roman" w:cs="Times New Roman"/>
          <w:sz w:val="24"/>
        </w:rPr>
        <w:t xml:space="preserve"> Tratado de </w:t>
      </w:r>
      <w:proofErr w:type="spellStart"/>
      <w:r w:rsidRPr="00434D6E">
        <w:rPr>
          <w:rFonts w:ascii="Times New Roman" w:hAnsi="Times New Roman" w:cs="Times New Roman"/>
          <w:sz w:val="24"/>
        </w:rPr>
        <w:t>Ayacucho</w:t>
      </w:r>
      <w:proofErr w:type="spellEnd"/>
      <w:r w:rsidRPr="00434D6E">
        <w:rPr>
          <w:rFonts w:ascii="Times New Roman" w:hAnsi="Times New Roman" w:cs="Times New Roman"/>
          <w:sz w:val="24"/>
        </w:rPr>
        <w:t xml:space="preserve"> dizia que “Deste rio para oeste seguirá a fronteira por uma paralela, tirada da sua margem esquerda na latitude sul 10º20’ até encontrar o rio Javari. Se o Javari tiver as suas nascentes ao norte daquela linha </w:t>
      </w:r>
      <w:proofErr w:type="spellStart"/>
      <w:r w:rsidRPr="00434D6E">
        <w:rPr>
          <w:rFonts w:ascii="Times New Roman" w:hAnsi="Times New Roman" w:cs="Times New Roman"/>
          <w:sz w:val="24"/>
        </w:rPr>
        <w:t>leste-oeste</w:t>
      </w:r>
      <w:proofErr w:type="spellEnd"/>
      <w:r w:rsidRPr="00434D6E">
        <w:rPr>
          <w:rFonts w:ascii="Times New Roman" w:hAnsi="Times New Roman" w:cs="Times New Roman"/>
          <w:sz w:val="24"/>
        </w:rPr>
        <w:t xml:space="preserve">, seguirá a fronteira desde a mesma latitude, por uma reta a buscar a origem principal do dito </w:t>
      </w:r>
      <w:proofErr w:type="gramStart"/>
      <w:r w:rsidRPr="00434D6E">
        <w:rPr>
          <w:rFonts w:ascii="Times New Roman" w:hAnsi="Times New Roman" w:cs="Times New Roman"/>
          <w:sz w:val="24"/>
        </w:rPr>
        <w:t>Javari.”</w:t>
      </w:r>
      <w:proofErr w:type="gramEnd"/>
    </w:p>
    <w:p w:rsidR="00434D6E" w:rsidRPr="00434D6E" w:rsidRDefault="00434D6E" w:rsidP="00434D6E">
      <w:pPr>
        <w:rPr>
          <w:rFonts w:ascii="Times New Roman" w:hAnsi="Times New Roman" w:cs="Times New Roman"/>
          <w:sz w:val="24"/>
        </w:rPr>
      </w:pPr>
      <w:r w:rsidRPr="00434D6E">
        <w:rPr>
          <w:rFonts w:ascii="Times New Roman" w:hAnsi="Times New Roman" w:cs="Times New Roman"/>
          <w:sz w:val="24"/>
        </w:rPr>
        <w:t xml:space="preserve">O trecho transcrito acima deixa claro que por ocasião da assinatura do Tratado de </w:t>
      </w:r>
      <w:proofErr w:type="spellStart"/>
      <w:r w:rsidRPr="00434D6E">
        <w:rPr>
          <w:rFonts w:ascii="Times New Roman" w:hAnsi="Times New Roman" w:cs="Times New Roman"/>
          <w:sz w:val="24"/>
        </w:rPr>
        <w:t>Ayacucho</w:t>
      </w:r>
      <w:proofErr w:type="spellEnd"/>
      <w:r w:rsidRPr="00434D6E">
        <w:rPr>
          <w:rFonts w:ascii="Times New Roman" w:hAnsi="Times New Roman" w:cs="Times New Roman"/>
          <w:sz w:val="24"/>
        </w:rPr>
        <w:t xml:space="preserve">, ainda não se conheciam as verdadeiras nascentes do Javari. Acreditavam os diplomatas brasileiros que essas nascentes estavam no paralelo 10º20’, mas deixavam em aberto uma solução para o caso dessa </w:t>
      </w:r>
      <w:proofErr w:type="spellStart"/>
      <w:r w:rsidRPr="00434D6E">
        <w:rPr>
          <w:rFonts w:ascii="Times New Roman" w:hAnsi="Times New Roman" w:cs="Times New Roman"/>
          <w:sz w:val="24"/>
        </w:rPr>
        <w:t>idéia</w:t>
      </w:r>
      <w:proofErr w:type="spellEnd"/>
      <w:r w:rsidRPr="00434D6E">
        <w:rPr>
          <w:rFonts w:ascii="Times New Roman" w:hAnsi="Times New Roman" w:cs="Times New Roman"/>
          <w:sz w:val="24"/>
        </w:rPr>
        <w:t xml:space="preserve"> não corresponder à realidade. E foi exatamente isso o que se constatou posteriormente: as verdadeiras cabeceiras do Javari estavam situadas a 7º 06’. Foi essa descoberta que, a partir de 1895, quando a fronteira começou a ser demarcada na prática, deu origem à Questão Acreana.</w:t>
      </w:r>
    </w:p>
    <w:p w:rsidR="007F2B34" w:rsidRPr="00434D6E" w:rsidRDefault="00EC51BD" w:rsidP="00434D6E">
      <w:pPr>
        <w:rPr>
          <w:rFonts w:ascii="Times New Roman" w:hAnsi="Times New Roman" w:cs="Times New Roman"/>
          <w:sz w:val="24"/>
        </w:rPr>
      </w:pPr>
    </w:p>
    <w:sectPr w:rsidR="007F2B34" w:rsidRPr="00434D6E" w:rsidSect="00434D6E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BD" w:rsidRDefault="00EC51BD" w:rsidP="00434D6E">
      <w:pPr>
        <w:spacing w:after="0" w:line="240" w:lineRule="auto"/>
      </w:pPr>
      <w:r>
        <w:separator/>
      </w:r>
    </w:p>
  </w:endnote>
  <w:endnote w:type="continuationSeparator" w:id="0">
    <w:p w:rsidR="00EC51BD" w:rsidRDefault="00EC51BD" w:rsidP="004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BD" w:rsidRDefault="00EC51BD" w:rsidP="00434D6E">
      <w:pPr>
        <w:spacing w:after="0" w:line="240" w:lineRule="auto"/>
      </w:pPr>
      <w:r>
        <w:separator/>
      </w:r>
    </w:p>
  </w:footnote>
  <w:footnote w:type="continuationSeparator" w:id="0">
    <w:p w:rsidR="00EC51BD" w:rsidRDefault="00EC51BD" w:rsidP="00434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6E"/>
    <w:rsid w:val="00434D6E"/>
    <w:rsid w:val="00AE675A"/>
    <w:rsid w:val="00EC51B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89107-E79E-42BE-B80C-D27D042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4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4D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34D6E"/>
    <w:rPr>
      <w:color w:val="0000FF"/>
      <w:u w:val="single"/>
    </w:rPr>
  </w:style>
  <w:style w:type="character" w:customStyle="1" w:styleId="td-post-date">
    <w:name w:val="td-post-date"/>
    <w:basedOn w:val="Fontepargpadro"/>
    <w:rsid w:val="00434D6E"/>
  </w:style>
  <w:style w:type="character" w:customStyle="1" w:styleId="td-nr-views-2110">
    <w:name w:val="td-nr-views-2110"/>
    <w:basedOn w:val="Fontepargpadro"/>
    <w:rsid w:val="00434D6E"/>
  </w:style>
  <w:style w:type="paragraph" w:styleId="NormalWeb">
    <w:name w:val="Normal (Web)"/>
    <w:basedOn w:val="Normal"/>
    <w:uiPriority w:val="99"/>
    <w:semiHidden/>
    <w:unhideWhenUsed/>
    <w:rsid w:val="0043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4D6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34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D6E"/>
  </w:style>
  <w:style w:type="paragraph" w:styleId="Rodap">
    <w:name w:val="footer"/>
    <w:basedOn w:val="Normal"/>
    <w:link w:val="RodapChar"/>
    <w:uiPriority w:val="99"/>
    <w:unhideWhenUsed/>
    <w:rsid w:val="00434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57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0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8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92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7478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811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6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3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1757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2018-04-06T17:07:00Z</dcterms:created>
  <dcterms:modified xsi:type="dcterms:W3CDTF">2018-04-06T17:08:00Z</dcterms:modified>
</cp:coreProperties>
</file>