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4266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A</w:t>
      </w:r>
      <w:r w:rsidR="00A26DFD">
        <w:rPr>
          <w:rFonts w:ascii="Open Sans" w:eastAsia="Times New Roman" w:hAnsi="Open Sans"/>
        </w:rPr>
        <w:t>dministracao publica mocambicana</w:t>
      </w:r>
      <w:bookmarkStart w:id="0" w:name="_GoBack"/>
      <w:bookmarkEnd w:id="0"/>
      <w:r w:rsidR="00A26DFD">
        <w:rPr>
          <w:rFonts w:ascii="Open Sans" w:eastAsia="Times New Roman" w:hAnsi="Open Sans"/>
        </w:rPr>
        <w:t>: desafios e perspectivas</w:t>
      </w:r>
    </w:p>
    <w:p w:rsidR="00E54266" w:rsidRDefault="00A26DFD" w:rsidP="00E54266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 w:rsidRPr="00E54266">
        <w:rPr>
          <w:rFonts w:ascii="Open Sans" w:eastAsia="Times New Roman" w:hAnsi="Open Sans"/>
          <w:b/>
          <w:sz w:val="32"/>
          <w:szCs w:val="22"/>
        </w:rPr>
        <w:t>Introdução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Administração Pública de qualquer país e de qualquer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tem como finalidade fundamental satisfazer, através dos seus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</w:t>
      </w:r>
      <w:r>
        <w:rPr>
          <w:rFonts w:ascii="Open Sans" w:eastAsia="Times New Roman" w:hAnsi="Open Sans"/>
          <w:sz w:val="22"/>
          <w:szCs w:val="22"/>
        </w:rPr>
        <w:t>os e services, as necessidades colectivas das respectivas populacões.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Ao longo dos anos vários estudiosos tem se dedicado a concepcao de um modelo de administacao que possibilita a prossecucao daquele desiderato com o emprego de menos recursos possiveis e</w:t>
      </w:r>
      <w:r>
        <w:rPr>
          <w:rFonts w:ascii="Open Sans" w:eastAsia="Times New Roman" w:hAnsi="Open Sans"/>
          <w:sz w:val="22"/>
          <w:szCs w:val="22"/>
        </w:rPr>
        <w:t xml:space="preserve"> com despendio de menor tempo possivel, ou seja a satisfacao das necessiades colectivas com eficiencia e eficacácia.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presente trabalho emana da cadeira de Introdução a Administração Pública e tem como finalidade procípua analisar o estado da AP em Moçamb</w:t>
      </w:r>
      <w:r>
        <w:rPr>
          <w:rFonts w:ascii="Open Sans" w:eastAsia="Times New Roman" w:hAnsi="Open Sans"/>
          <w:sz w:val="22"/>
          <w:szCs w:val="22"/>
        </w:rPr>
        <w:t>ique e compara-la com os diferentes modelos de administação com o fito de aferir com qual dos modelos a AP moçambicana se asselha, e quais as caracteristicas preditoras dessas semelhanças.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trabalho sera submetido ao docente da cadeira, o Dr. Pedro lopes,</w:t>
      </w:r>
      <w:r>
        <w:rPr>
          <w:rFonts w:ascii="Open Sans" w:eastAsia="Times New Roman" w:hAnsi="Open Sans"/>
          <w:sz w:val="22"/>
          <w:szCs w:val="22"/>
        </w:rPr>
        <w:t xml:space="preserve"> para efeitos de avaliação.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E54266">
        <w:rPr>
          <w:rFonts w:ascii="Open Sans" w:eastAsia="Times New Roman" w:hAnsi="Open Sans"/>
          <w:b/>
          <w:sz w:val="26"/>
          <w:szCs w:val="22"/>
        </w:rPr>
        <w:t>Administração Pública de Moçambique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Administração Pública moçambicana vem ao longo dos anos sofrendo metamorfoses consonantes com as espectativas, desejos, anseios, exigências da colectividade. Segundo Nyakada (20</w:t>
      </w:r>
      <w:r>
        <w:rPr>
          <w:rFonts w:ascii="Open Sans" w:eastAsia="Times New Roman" w:hAnsi="Open Sans"/>
          <w:sz w:val="22"/>
          <w:szCs w:val="22"/>
        </w:rPr>
        <w:t>08) a lógica da Administração Pública apresenta-se disposta da seguinte forma: no periodo colonial assistia-se a um sistema de adminitração com marcas iminentemente patrimoniais, no periodo que seguiu, periodo após independência e antes da assinatura do AG</w:t>
      </w:r>
      <w:r>
        <w:rPr>
          <w:rFonts w:ascii="Open Sans" w:eastAsia="Times New Roman" w:hAnsi="Open Sans"/>
          <w:sz w:val="22"/>
          <w:szCs w:val="22"/>
        </w:rPr>
        <w:t>P1,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AP2 era marcadamente borocrática, de lá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para cá, tem se visto o desencadear de uma série de reformas convindo tornar a AP menos honerosa e mais eficiente, reformas estas que são uma marcada Nova Gestão Pública ou administração gerencial.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 com prepo</w:t>
      </w:r>
      <w:r>
        <w:rPr>
          <w:rFonts w:ascii="Open Sans" w:eastAsia="Times New Roman" w:hAnsi="Open Sans"/>
          <w:sz w:val="22"/>
          <w:szCs w:val="22"/>
        </w:rPr>
        <w:t>nderância do modelo borocrático</w:t>
      </w:r>
      <w:r>
        <w:rPr>
          <w:rFonts w:ascii="Open Sans" w:eastAsia="Times New Roman" w:hAnsi="Open Sans"/>
          <w:sz w:val="22"/>
          <w:szCs w:val="22"/>
        </w:rPr>
        <w:br/>
      </w:r>
      <w:r w:rsidRPr="00E54266">
        <w:rPr>
          <w:rFonts w:ascii="Open Sans" w:eastAsia="Times New Roman" w:hAnsi="Open Sans"/>
          <w:b/>
          <w:sz w:val="28"/>
          <w:szCs w:val="22"/>
        </w:rPr>
        <w:t>Características da Burocracia</w:t>
      </w:r>
      <w:r w:rsidRPr="00E54266">
        <w:rPr>
          <w:rFonts w:ascii="Open Sans" w:eastAsia="Times New Roman" w:hAnsi="Open Sans"/>
          <w:sz w:val="28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caraterísticas da borocracia, embora com diferenças específicas que variam de país para país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época,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as que são comuns. Ensina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Chiavenato (2004) que as características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buroc</w:t>
      </w:r>
      <w:r>
        <w:rPr>
          <w:rFonts w:ascii="Open Sans" w:eastAsia="Times New Roman" w:hAnsi="Open Sans"/>
          <w:sz w:val="22"/>
          <w:szCs w:val="22"/>
        </w:rPr>
        <w:t>racia (também aplocáveis ao caso de Moçambique) podem ser descritas 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Regulamentação e normalização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Formalidade das ordens e comunicações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Divisão e especialização do trabalho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Profissionalização ou separação entre propriedade e administração.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Hierarqui</w:t>
      </w:r>
      <w:r>
        <w:rPr>
          <w:rFonts w:ascii="Open Sans" w:eastAsia="Times New Roman" w:hAnsi="Open Sans"/>
          <w:sz w:val="22"/>
          <w:szCs w:val="22"/>
        </w:rPr>
        <w:t>zação e impessoalidade.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Meritocracia e Competência técnica.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Completa previsibilidade do funcionamento: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Impessoalidade.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E54266">
        <w:rPr>
          <w:rFonts w:ascii="Open Sans" w:eastAsia="Times New Roman" w:hAnsi="Open Sans"/>
          <w:b/>
          <w:sz w:val="28"/>
          <w:szCs w:val="22"/>
        </w:rPr>
        <w:t>Os principais desdobramentos negativos da Teoria Burocrática estão a seguir descritos: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Relacionamento impessoal;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Estratificação por</w:t>
      </w:r>
      <w:r>
        <w:rPr>
          <w:rFonts w:ascii="Open Sans" w:eastAsia="Times New Roman" w:hAnsi="Open Sans"/>
          <w:sz w:val="22"/>
          <w:szCs w:val="22"/>
        </w:rPr>
        <w:t xml:space="preserve"> hierarquias;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Distinção da autoridade;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Relacionamento dificultado com outros sistemas;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Exagerado apego a normas e regulamentos;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Excesso de formalismo e papelório (documentos);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Inflexibilidade; (Ibid)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 moçambicana sob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égede de NGP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factores que lev</w:t>
      </w:r>
      <w:r>
        <w:rPr>
          <w:rFonts w:ascii="Open Sans" w:eastAsia="Times New Roman" w:hAnsi="Open Sans"/>
          <w:sz w:val="22"/>
          <w:szCs w:val="22"/>
        </w:rPr>
        <w:t>aram a eclosão deste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 por muitos considerado o novo paradigm da AP são variados de país para país, contudo,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os que são comuns em todos países onde este modelo de gestão foi ou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uso.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reformas que a administração pública tem conhecido desd</w:t>
      </w:r>
      <w:r>
        <w:rPr>
          <w:rFonts w:ascii="Open Sans" w:eastAsia="Times New Roman" w:hAnsi="Open Sans"/>
          <w:sz w:val="22"/>
          <w:szCs w:val="22"/>
        </w:rPr>
        <w:t xml:space="preserve">e os anos 1980 e as mudanças nos modelos de gestão pública </w:t>
      </w:r>
      <w:r>
        <w:rPr>
          <w:rFonts w:ascii="Open Sans" w:eastAsia="Times New Roman" w:hAnsi="Open Sans"/>
          <w:sz w:val="22"/>
          <w:szCs w:val="22"/>
        </w:rPr>
        <w:lastRenderedPageBreak/>
        <w:t>adotados em vários países do mundo inteiro repercutem em análises teóricas e práticas administrativas consideradas inovadoras para as formas de organização e funcionamento da administração pública.</w:t>
      </w:r>
      <w:r>
        <w:rPr>
          <w:rFonts w:ascii="Open Sans" w:eastAsia="Times New Roman" w:hAnsi="Open Sans"/>
          <w:sz w:val="22"/>
          <w:szCs w:val="22"/>
        </w:rPr>
        <w:t xml:space="preserve"> Anecessidade de se constituir uma administração pública cada vez mais capacitada para responder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solicitações da sociedade e a prestação de serviços públicos com maior qualidade, assim como a elevação do desempenho das instituições do Estado se tornaram</w:t>
      </w:r>
      <w:r>
        <w:rPr>
          <w:rFonts w:ascii="Open Sans" w:eastAsia="Times New Roman" w:hAnsi="Open Sans"/>
          <w:sz w:val="22"/>
          <w:szCs w:val="22"/>
        </w:rPr>
        <w:t xml:space="preserve"> de forma rápida e intensa numa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"bandeira"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fundamental da teoria e da prática da gestão pública na contemporaneidade.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tema da reforma administrativa em Moçambique adquiriu centralidade crescente no debate sobre as condições para o enfrentamento dos probl</w:t>
      </w:r>
      <w:r>
        <w:rPr>
          <w:rFonts w:ascii="Open Sans" w:eastAsia="Times New Roman" w:hAnsi="Open Sans"/>
          <w:sz w:val="22"/>
          <w:szCs w:val="22"/>
        </w:rPr>
        <w:t>emas estruturais e das fragilidades institucionais da gestão pública, caracterizada por uma burocracia excessiva e inoperante, pouco flexível e dinâmica, e, sobretudo, pela necessidade de ampliação da presença e representação do Estado ao nível das comunid</w:t>
      </w:r>
      <w:r>
        <w:rPr>
          <w:rFonts w:ascii="Open Sans" w:eastAsia="Times New Roman" w:hAnsi="Open Sans"/>
          <w:sz w:val="22"/>
          <w:szCs w:val="22"/>
        </w:rPr>
        <w:t>ades locais. Portanto, a conjuntura socioeconômica e política vivida no país no decurso dos anos 1980, o quadro de degradação das condições sociais, os desequilíbrios macroeconômicos e a deterioração do modelo de Estado socialista vigente (Hanlon 1991) tor</w:t>
      </w:r>
      <w:r>
        <w:rPr>
          <w:rFonts w:ascii="Open Sans" w:eastAsia="Times New Roman" w:hAnsi="Open Sans"/>
          <w:sz w:val="22"/>
          <w:szCs w:val="22"/>
        </w:rPr>
        <w:t>naram imprescindível a realização de reformas dentro do Estado e na administração pública nacional.</w:t>
      </w:r>
    </w:p>
    <w:p w:rsidR="00E54266" w:rsidRDefault="00A26DFD" w:rsidP="00E54266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Entretanto, o sentido das mudanças efetuadas recentemente com a implementação da Estratégia Global de Reforma do Setor Público (EGRSP, 2001-11) pode ser enc</w:t>
      </w:r>
      <w:r>
        <w:rPr>
          <w:rFonts w:ascii="Open Sans" w:eastAsia="Times New Roman" w:hAnsi="Open Sans"/>
          <w:sz w:val="22"/>
          <w:szCs w:val="22"/>
        </w:rPr>
        <w:t>arado em duas vertentes importantes. Uma primeira que considera a aplicação de um conjunto de práticas e de princípios de gestão pública, como discorre Barrett (2002:2), por exemplo, com a promoção de práticas voltadas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responsabilização ou accountability</w:t>
      </w:r>
      <w:r>
        <w:rPr>
          <w:rFonts w:ascii="Open Sans" w:eastAsia="Times New Roman" w:hAnsi="Open Sans"/>
          <w:sz w:val="22"/>
          <w:szCs w:val="22"/>
        </w:rPr>
        <w:t>3, a gestão por objetivos e a avaliação por resultados.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Tendo em conta ascaracterísticas actuais da AP moçambicana pode-se com algum avontade referir a lógica da EGRSP4 encontra seu fundamento nas formulações e nos padrões instituídos pela Nova Gestão Púb</w:t>
      </w:r>
      <w:r>
        <w:rPr>
          <w:rFonts w:ascii="Open Sans" w:eastAsia="Times New Roman" w:hAnsi="Open Sans"/>
          <w:sz w:val="22"/>
          <w:szCs w:val="22"/>
        </w:rPr>
        <w:t>lica, como afirma Barzelay (2000), nos argumentos do Novo Serviço Público contextualizado por Denhardt e Denhardt (2000, 2003), portanto, como fenômenos ideológicos e doutrinários cruciais não apenas para a teoria, mas também para a prática de administraçã</w:t>
      </w:r>
      <w:r>
        <w:rPr>
          <w:rFonts w:ascii="Open Sans" w:eastAsia="Times New Roman" w:hAnsi="Open Sans"/>
          <w:sz w:val="22"/>
          <w:szCs w:val="22"/>
        </w:rPr>
        <w:t>o pública que tem na Governança Interativa o seu objetivo principal, como defende Kooiman e colaboradores (2008).</w:t>
      </w:r>
    </w:p>
    <w:p w:rsidR="00E54266" w:rsidRDefault="00A26DFD" w:rsidP="00E54266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Tal como na EGRSP na NGP defende-se maior acesso dos grupos de interesse ao processo da governança no setor público, encarada, nessa perspecti</w:t>
      </w:r>
      <w:r>
        <w:rPr>
          <w:rFonts w:ascii="Open Sans" w:eastAsia="Times New Roman" w:hAnsi="Open Sans"/>
          <w:sz w:val="22"/>
          <w:szCs w:val="22"/>
        </w:rPr>
        <w:t>va, como um mecanismo que permite a atuação da administração pública de forma mais participativa e coordenada. Formula-se que novos agentes provenientes do setor privado assim como da sociedade civil são vistos como atores que devem interagir com maior fre</w:t>
      </w:r>
      <w:r>
        <w:rPr>
          <w:rFonts w:ascii="Open Sans" w:eastAsia="Times New Roman" w:hAnsi="Open Sans"/>
          <w:sz w:val="22"/>
          <w:szCs w:val="22"/>
        </w:rPr>
        <w:t>quência com o Estado e suas instituições, reduzindo as fronteiras existentes de modo a elevar a participação pública no processo de formação e tomada de decisão das políticas públicas.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implementação, por exemplo, do Decreto no 5/2006, de 12 de abril, sob</w:t>
      </w:r>
      <w:r>
        <w:rPr>
          <w:rFonts w:ascii="Open Sans" w:eastAsia="Times New Roman" w:hAnsi="Open Sans"/>
          <w:sz w:val="22"/>
          <w:szCs w:val="22"/>
        </w:rPr>
        <w:t>re a desconcentração de competências para o governador provincial e administrador distrital promoveu novas práticas de contratação para os quadros de pessoal em nível local concretizando, assim, a ideia da profissionalização dentro de um sistema de carreir</w:t>
      </w:r>
      <w:r>
        <w:rPr>
          <w:rFonts w:ascii="Open Sans" w:eastAsia="Times New Roman" w:hAnsi="Open Sans"/>
          <w:sz w:val="22"/>
          <w:szCs w:val="22"/>
        </w:rPr>
        <w:t>as que obedece a tabelas salariais e a esquemas de promoção próprios. Por sua vez, a implementação do Estatuto Geral dos Funcionários e Agentes do Estado (Egfae)em 2009 pela Lei no 14/2009, de 17 de março, permitiu proceder a uma gestão de recursos humanos</w:t>
      </w:r>
      <w:r>
        <w:rPr>
          <w:rFonts w:ascii="Open Sans" w:eastAsia="Times New Roman" w:hAnsi="Open Sans"/>
          <w:sz w:val="22"/>
          <w:szCs w:val="22"/>
        </w:rPr>
        <w:t xml:space="preserve"> a partir de mecanismos modernos e de técnicas de avaliação de desempenho.</w:t>
      </w:r>
    </w:p>
    <w:p w:rsidR="00E54266" w:rsidRDefault="00A26DFD" w:rsidP="00E54266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Sistema de Gestão de Desempenho na Administração Pública Moçambicana (Sigedap) foi aprovado em 2009 pelo Decreto no 55/2009, de 12 de outubro, com vista a aperfeiçoar a gestão det</w:t>
      </w:r>
      <w:r>
        <w:rPr>
          <w:rFonts w:ascii="Open Sans" w:eastAsia="Times New Roman" w:hAnsi="Open Sans"/>
          <w:sz w:val="22"/>
          <w:szCs w:val="22"/>
        </w:rPr>
        <w:t>erminada por objetivos, orientada para resultados e dotada de instrumentos de gestão necessários para atuar e responsabilizar, motivando as lideranças, os funcionários e agentes do Estado para um desempenho de qualidade e reconhecendo o mérito e a excelênc</w:t>
      </w:r>
      <w:r>
        <w:rPr>
          <w:rFonts w:ascii="Open Sans" w:eastAsia="Times New Roman" w:hAnsi="Open Sans"/>
          <w:sz w:val="22"/>
          <w:szCs w:val="22"/>
        </w:rPr>
        <w:t>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Contudo, as metas de eficiência e do alcance de resultados se apresentam como uma questão crítica no processo da reforma administrativa em Moçambique, por um lado, porque a pressão por resultados pode degenerar numa situação instrumental comparável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>dministração científica tayloriana, uma vez que transforma o espírito e a cultura de trabalho dos funcionários e agentes do Estado, relacionando o seu desempenho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às recompensas, desintegrando os valores fundamentais do setor público como a integridade e o </w:t>
      </w:r>
      <w:r>
        <w:rPr>
          <w:rFonts w:ascii="Open Sans" w:eastAsia="Times New Roman" w:hAnsi="Open Sans"/>
          <w:sz w:val="22"/>
          <w:szCs w:val="22"/>
        </w:rPr>
        <w:t>comprometimento com o interesse público. Por outro, a análise dos objetivos da avaliação do desempenho estabelecidos no modelo do Sigedap mostra que a fixação de objetivos, a rigidez para o seu cumprimento, bem como a necessidade de responder aos indicador</w:t>
      </w:r>
      <w:r>
        <w:rPr>
          <w:rFonts w:ascii="Open Sans" w:eastAsia="Times New Roman" w:hAnsi="Open Sans"/>
          <w:sz w:val="22"/>
          <w:szCs w:val="22"/>
        </w:rPr>
        <w:t>es fixados podem arrastar o sistema administrativo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inflexibilidade típica do modelo de administração burocrática.</w:t>
      </w:r>
    </w:p>
    <w:p w:rsidR="00E54266" w:rsidRDefault="00E54266" w:rsidP="00E54266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26DFD" w:rsidRDefault="00A26DFD" w:rsidP="00E54266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E54266">
        <w:rPr>
          <w:rFonts w:ascii="Open Sans" w:eastAsia="Times New Roman" w:hAnsi="Open Sans"/>
          <w:b/>
          <w:sz w:val="28"/>
          <w:szCs w:val="22"/>
        </w:rPr>
        <w:lastRenderedPageBreak/>
        <w:t>Considerações finais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revisão da literatura efetuada algumas conclusões sobre a dinâmica das transformações quetêm sido efetuadas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 AP moçambicana podem ser destacadas as ideias de que embora ainda existam marcas da administração patrimonial e mais ainda do modelo borocrático, no sistema de Administração Pública, o modelo gerencial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que se nos afigura com maior enfoque na actuali</w:t>
      </w:r>
      <w:r>
        <w:rPr>
          <w:rFonts w:ascii="Open Sans" w:eastAsia="Times New Roman" w:hAnsi="Open Sans"/>
          <w:sz w:val="22"/>
          <w:szCs w:val="22"/>
        </w:rPr>
        <w:t>dade no cenário da AP em Moçambique.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inequívoco o efeito positivo da implementação deste modelo na AP moçambicana, com este modelo a AP passou a afigurar-se mais orientada para os resultados, passou a ter o secror privado como parceiro na procecussão do</w:t>
      </w:r>
      <w:r>
        <w:rPr>
          <w:rFonts w:ascii="Open Sans" w:eastAsia="Times New Roman" w:hAnsi="Open Sans"/>
          <w:sz w:val="22"/>
          <w:szCs w:val="22"/>
        </w:rPr>
        <w:t>s interesses da colectividade.</w:t>
      </w:r>
    </w:p>
    <w:sectPr w:rsidR="00A26DFD" w:rsidSect="00E54266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4266"/>
    <w:rsid w:val="00102BA9"/>
    <w:rsid w:val="00946113"/>
    <w:rsid w:val="00A26DFD"/>
    <w:rsid w:val="00E5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C4E51-4AA8-4B1B-964D-DA85E430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1353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3</cp:revision>
  <dcterms:created xsi:type="dcterms:W3CDTF">2018-03-21T12:46:00Z</dcterms:created>
  <dcterms:modified xsi:type="dcterms:W3CDTF">2018-03-21T12:57:00Z</dcterms:modified>
</cp:coreProperties>
</file>