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2E" w:rsidRPr="0046662E" w:rsidRDefault="0046662E" w:rsidP="003341B1">
      <w:pPr>
        <w:shd w:val="clear" w:color="auto" w:fill="FFFFFF"/>
        <w:spacing w:after="54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2"/>
          <w:lang w:eastAsia="pt-BR"/>
        </w:rPr>
      </w:pPr>
      <w:bookmarkStart w:id="0" w:name="_GoBack"/>
      <w:r w:rsidRPr="0046662E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2"/>
          <w:lang w:eastAsia="pt-BR"/>
        </w:rPr>
        <w:t>DESSALINIZAÇÃO DA ÁGUA</w:t>
      </w:r>
    </w:p>
    <w:p w:rsidR="0046662E" w:rsidRPr="0046662E" w:rsidRDefault="0046662E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Dessalinização é um processo físico-químico de retirada de sais da água, tornando-a doce e própria para o consumo.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>Como se sabe, a notícia de que pode faltar água potável no planeta é tenebrosa ao homem, já existem regiões ameaçadas, as Ilhas são exemplos: Ilha de Chipre, Ilha de Páscoa, Ilha Fernando de Noronha, onde os lençóis freáticos diminuíram em razão da exploração. Em alguns países, como a Arábia Saudita e Israel, este já é um problema.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>Então por que não transformar água salgada presente em abundância nestes locais em água doce? Esta é a ideia que pode solucionar este problema ambiental, vejamos os possíveis processos para a dessalinização da água: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3341B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t-BR"/>
        </w:rPr>
        <w:t>Evaporação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: a água salgada é colocada em um tanque com fundo preto e teto de vidro transparente, este tanque permite que o calor do sol evapore a água.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>Observe a figura que ilustra o processo descrito acima:</w:t>
      </w:r>
    </w:p>
    <w:p w:rsidR="0046662E" w:rsidRPr="003341B1" w:rsidRDefault="0046662E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3341B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1.</w:t>
      </w:r>
      <w:r w:rsidRPr="003341B1">
        <w:rPr>
          <w:rFonts w:ascii="Times New Roman" w:eastAsia="Times New Roman" w:hAnsi="Times New Roman" w:cs="Times New Roman"/>
          <w:sz w:val="24"/>
          <w:szCs w:val="26"/>
          <w:lang w:eastAsia="pt-BR"/>
        </w:rPr>
        <w:t> 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A água salgada é retirada do mar e transferida para o tanque 1 (setas vermelhas);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3341B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2.</w:t>
      </w:r>
      <w:r w:rsidRPr="003341B1">
        <w:rPr>
          <w:rFonts w:ascii="Times New Roman" w:eastAsia="Times New Roman" w:hAnsi="Times New Roman" w:cs="Times New Roman"/>
          <w:sz w:val="24"/>
          <w:szCs w:val="26"/>
          <w:lang w:eastAsia="pt-BR"/>
        </w:rPr>
        <w:t> 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A luz solar incidente (parte superior do tanque: indicada pelas setas brancas), faz com que a água salgada se evapore;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3341B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3.</w:t>
      </w:r>
      <w:r w:rsidRPr="003341B1">
        <w:rPr>
          <w:rFonts w:ascii="Times New Roman" w:eastAsia="Times New Roman" w:hAnsi="Times New Roman" w:cs="Times New Roman"/>
          <w:sz w:val="24"/>
          <w:szCs w:val="26"/>
          <w:lang w:eastAsia="pt-BR"/>
        </w:rPr>
        <w:t> 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O vapor de água passa por um resfriamento e se converte em líquido por condensação: o processo é representado pelas setas amarelas. O produto líquido é a água já no estado puro, esta é recolhida por canaletas e então armazenada no tanque 2.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>O processo é simples e barato, o grande problema é que os tanques ocupam extensas áreas e estas precisam receber iluminação solar satisfatória para que a evaporação ocorra com sucesso.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3341B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t-BR"/>
        </w:rPr>
        <w:t>Osmose reversa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: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 xml:space="preserve">Também conhecida como Osmose Inversa, é onde se exerce forte pressão em uma solução salina. Como o próprio nome já diz, esse processo é o inverso da osmose natural (passagem de uma substância pura para uma solução através de uma membrana semipermeável). Só que para </w:t>
      </w:r>
      <w:proofErr w:type="spellStart"/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>dessalinizar</w:t>
      </w:r>
      <w:proofErr w:type="spellEnd"/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 a água é preciso que esta passagem ocorra inversamente: da solução (água e sal) para água pura. Não entendeu? É fácil! O processo consiste em realizar a passagem da água salgada por membranas de fibra oca. Estas fibras contêm poros microscópicos e todo o sal e impurezas presentes na água ficam retidas nestes pequenos poros.</w:t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</w:r>
      <w:r w:rsidRPr="0046662E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>Repare que, ao contrário da osmose comum, a reversa consiste na transferência de uma solução salgada para uma purificada. Este método é o que apresenta perspectivas para a solução da água, atualmente já existem usinas operantes no Golfo Pérsico, Espanha, Malta, Austrália e Caribe convertendo 4,8 bilhões de metros cúbicos de água salgada em água doce, por ano.</w:t>
      </w:r>
    </w:p>
    <w:p w:rsidR="003341B1" w:rsidRPr="003341B1" w:rsidRDefault="003341B1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3341B1" w:rsidRPr="003341B1" w:rsidRDefault="003341B1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3341B1" w:rsidRPr="003341B1" w:rsidRDefault="003341B1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3341B1" w:rsidRPr="003341B1" w:rsidRDefault="003341B1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3341B1" w:rsidRPr="003341B1" w:rsidRDefault="003341B1" w:rsidP="003341B1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3341B1" w:rsidRPr="003341B1" w:rsidRDefault="003341B1" w:rsidP="003341B1">
      <w:pPr>
        <w:pStyle w:val="Ttulo1"/>
        <w:shd w:val="clear" w:color="auto" w:fill="FFFFFF"/>
        <w:spacing w:before="75" w:beforeAutospacing="0" w:after="179" w:afterAutospacing="0" w:line="283" w:lineRule="atLeast"/>
        <w:textAlignment w:val="baseline"/>
        <w:rPr>
          <w:sz w:val="40"/>
          <w:szCs w:val="62"/>
        </w:rPr>
      </w:pPr>
      <w:r w:rsidRPr="003341B1">
        <w:rPr>
          <w:sz w:val="40"/>
          <w:szCs w:val="62"/>
        </w:rPr>
        <w:lastRenderedPageBreak/>
        <w:t>Governo inaugura sistema de dessalinização de água em Amparo (PB)</w:t>
      </w:r>
    </w:p>
    <w:p w:rsidR="003341B1" w:rsidRPr="003341B1" w:rsidRDefault="003341B1" w:rsidP="003341B1">
      <w:pPr>
        <w:shd w:val="clear" w:color="auto" w:fill="FFFFFF"/>
        <w:textAlignment w:val="baseline"/>
        <w:rPr>
          <w:rFonts w:ascii="Times New Roman" w:hAnsi="Times New Roman" w:cs="Times New Roman"/>
          <w:sz w:val="32"/>
          <w:szCs w:val="31"/>
        </w:rPr>
      </w:pPr>
      <w:r w:rsidRPr="003341B1">
        <w:rPr>
          <w:rFonts w:ascii="Times New Roman" w:hAnsi="Times New Roman" w:cs="Times New Roman"/>
          <w:sz w:val="36"/>
          <w:szCs w:val="31"/>
        </w:rPr>
        <w:t>P</w:t>
      </w:r>
      <w:r w:rsidRPr="003341B1">
        <w:rPr>
          <w:rFonts w:ascii="Times New Roman" w:hAnsi="Times New Roman" w:cs="Times New Roman"/>
          <w:sz w:val="32"/>
          <w:szCs w:val="31"/>
        </w:rPr>
        <w:t>rograma Água Doce prevê a implantação de um total de 93 sistemas de dessalinização na Paraíba</w:t>
      </w:r>
    </w:p>
    <w:p w:rsidR="003341B1" w:rsidRPr="003341B1" w:rsidRDefault="003341B1" w:rsidP="003341B1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16"/>
        </w:rPr>
      </w:pPr>
      <w:proofErr w:type="gramStart"/>
      <w:r w:rsidRPr="003341B1">
        <w:rPr>
          <w:rStyle w:val="documentauthor"/>
          <w:rFonts w:ascii="Times New Roman" w:hAnsi="Times New Roman" w:cs="Times New Roman"/>
          <w:b/>
          <w:bCs/>
          <w:szCs w:val="18"/>
        </w:rPr>
        <w:t>por</w:t>
      </w:r>
      <w:proofErr w:type="gramEnd"/>
      <w:r w:rsidRPr="003341B1">
        <w:rPr>
          <w:rStyle w:val="apple-converted-space"/>
          <w:rFonts w:ascii="Times New Roman" w:hAnsi="Times New Roman" w:cs="Times New Roman"/>
          <w:b/>
          <w:bCs/>
          <w:sz w:val="28"/>
        </w:rPr>
        <w:t> </w:t>
      </w:r>
      <w:r w:rsidRPr="003341B1">
        <w:rPr>
          <w:rStyle w:val="documentauthor"/>
          <w:rFonts w:ascii="Times New Roman" w:hAnsi="Times New Roman" w:cs="Times New Roman"/>
          <w:b/>
          <w:bCs/>
          <w:szCs w:val="18"/>
        </w:rPr>
        <w:t xml:space="preserve">Portal Brasil </w:t>
      </w:r>
      <w:r w:rsidRPr="003341B1">
        <w:rPr>
          <w:rStyle w:val="documentpublished"/>
          <w:rFonts w:ascii="Times New Roman" w:hAnsi="Times New Roman" w:cs="Times New Roman"/>
          <w:szCs w:val="18"/>
        </w:rPr>
        <w:t>Publicado:</w:t>
      </w:r>
      <w:r w:rsidRPr="003341B1">
        <w:rPr>
          <w:rStyle w:val="apple-converted-space"/>
          <w:rFonts w:ascii="Times New Roman" w:hAnsi="Times New Roman" w:cs="Times New Roman"/>
          <w:sz w:val="28"/>
        </w:rPr>
        <w:t> </w:t>
      </w:r>
      <w:r w:rsidRPr="003341B1">
        <w:rPr>
          <w:rStyle w:val="documentpublished"/>
          <w:rFonts w:ascii="Times New Roman" w:hAnsi="Times New Roman" w:cs="Times New Roman"/>
          <w:szCs w:val="18"/>
        </w:rPr>
        <w:t>24/11/2016 18h49</w:t>
      </w:r>
      <w:r w:rsidRPr="003341B1">
        <w:rPr>
          <w:rStyle w:val="documentmodified"/>
          <w:rFonts w:ascii="Times New Roman" w:hAnsi="Times New Roman" w:cs="Times New Roman"/>
          <w:szCs w:val="18"/>
        </w:rPr>
        <w:t>Última modificação:</w:t>
      </w:r>
      <w:r w:rsidRPr="003341B1">
        <w:rPr>
          <w:rStyle w:val="apple-converted-space"/>
          <w:rFonts w:ascii="Times New Roman" w:hAnsi="Times New Roman" w:cs="Times New Roman"/>
          <w:sz w:val="28"/>
        </w:rPr>
        <w:t> </w:t>
      </w:r>
      <w:r w:rsidRPr="003341B1">
        <w:rPr>
          <w:rStyle w:val="documentmodified"/>
          <w:rFonts w:ascii="Times New Roman" w:hAnsi="Times New Roman" w:cs="Times New Roman"/>
          <w:szCs w:val="18"/>
        </w:rPr>
        <w:t>24/11/2016 18h55</w:t>
      </w:r>
    </w:p>
    <w:p w:rsidR="003341B1" w:rsidRPr="003341B1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1"/>
        </w:rPr>
      </w:pPr>
      <w:r w:rsidRPr="003341B1">
        <w:rPr>
          <w:szCs w:val="21"/>
        </w:rPr>
        <w:t>Mais um sistema de dessalinização de água será inaugurado no estado da Paraíba nesta sexta-feira (25). A cidade de Amparo, a 314 km da capital João Pessoa, receberá sistema que beneficiará 192 famílias. O investimento federal foi de R$ 146 mil.</w:t>
      </w:r>
    </w:p>
    <w:p w:rsidR="003341B1" w:rsidRPr="003341B1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1"/>
        </w:rPr>
      </w:pPr>
      <w:r w:rsidRPr="003341B1">
        <w:rPr>
          <w:szCs w:val="21"/>
        </w:rPr>
        <w:t>Os recursos são resultado de convênio firmado entre o Ministério do Meio Ambiente (MMA) e a Secretaria de Infraestrutura, Recursos Hídricos, Meio Ambiente e Ciência e Tecnologia do estado. A água própria para consumo humano ficará disponível em um chafariz na sede do município.</w:t>
      </w:r>
    </w:p>
    <w:p w:rsidR="003341B1" w:rsidRPr="003341B1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1"/>
        </w:rPr>
      </w:pPr>
      <w:r w:rsidRPr="003341B1">
        <w:rPr>
          <w:szCs w:val="21"/>
        </w:rPr>
        <w:t>No Programa Água Doce da Paraíba está prevista a implantação de 93 sistemas de dessalinização, envolvendo R$ 22 milhões em recursos (federais e estaduais). Desse total, 15 sistemas já foram entregues, beneficiando 1.753 famílias ou aproximadamente 7 mil pessoas do semiárido paraibano. Também há 40 sistemas em fase de obras.</w:t>
      </w:r>
    </w:p>
    <w:p w:rsidR="003341B1" w:rsidRPr="003341B1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1"/>
        </w:rPr>
      </w:pPr>
      <w:r w:rsidRPr="003341B1">
        <w:rPr>
          <w:szCs w:val="21"/>
        </w:rPr>
        <w:t>Segundo o secretário estadual de Infraestrutura, João Azevedo, é muito importante para o semiárido que programas como esses continuem. “Estamos correndo para concluir esse convênio e tentar ampliá-lo para outras comunidades”, afirma. “Aproximadamente 30% das cidades paraibanas estão com a rede de água em colapso e 75% estão em regime de racionamento”, destaca.</w:t>
      </w:r>
    </w:p>
    <w:p w:rsidR="003341B1" w:rsidRPr="003341B1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1"/>
        </w:rPr>
      </w:pPr>
      <w:r w:rsidRPr="003341B1">
        <w:rPr>
          <w:szCs w:val="21"/>
        </w:rPr>
        <w:t xml:space="preserve">O secretário de Recursos Hídricos e Ambiente Urbano do Ministério do Meio Ambiente, Jair </w:t>
      </w:r>
      <w:proofErr w:type="spellStart"/>
      <w:r w:rsidRPr="003341B1">
        <w:rPr>
          <w:szCs w:val="21"/>
        </w:rPr>
        <w:t>Tannús</w:t>
      </w:r>
      <w:proofErr w:type="spellEnd"/>
      <w:r w:rsidRPr="003341B1">
        <w:rPr>
          <w:szCs w:val="21"/>
        </w:rPr>
        <w:t>, esclarece que em razão da criticidade, resultado da escassez hídrica existente na Paraíba, assim como da priorização dada ao Programa Água Doce pelo estado, o MMA concluiu o repasse dos recursos do convênio no mês de setembro, no valor de R$ 3,4 milhões.</w:t>
      </w:r>
    </w:p>
    <w:p w:rsidR="003341B1" w:rsidRPr="003341B1" w:rsidRDefault="003341B1" w:rsidP="003341B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Cs w:val="21"/>
        </w:rPr>
      </w:pPr>
      <w:r w:rsidRPr="003341B1">
        <w:rPr>
          <w:b/>
          <w:bCs/>
          <w:szCs w:val="21"/>
        </w:rPr>
        <w:t>Água Doce</w:t>
      </w:r>
    </w:p>
    <w:p w:rsidR="003341B1" w:rsidRPr="003341B1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1"/>
        </w:rPr>
      </w:pPr>
      <w:r w:rsidRPr="003341B1">
        <w:rPr>
          <w:szCs w:val="21"/>
        </w:rPr>
        <w:t>O Programa Água Doce é uma ação do governo federal, coordenada pelo Ministério do Meio Ambiente em parceria com cerca de 200 instituições federais, estaduais, municipais e sociedade civil. Atende prioritariamente comunidades rurais localizadas no semiárido brasileiro.</w:t>
      </w:r>
    </w:p>
    <w:p w:rsidR="003341B1" w:rsidRPr="0046662E" w:rsidRDefault="003341B1" w:rsidP="003341B1">
      <w:pPr>
        <w:pStyle w:val="NormalWeb"/>
        <w:shd w:val="clear" w:color="auto" w:fill="FFFFFF"/>
        <w:spacing w:before="360" w:beforeAutospacing="0" w:after="360" w:afterAutospacing="0" w:line="276" w:lineRule="auto"/>
        <w:textAlignment w:val="baseline"/>
        <w:rPr>
          <w:szCs w:val="26"/>
        </w:rPr>
      </w:pPr>
      <w:r w:rsidRPr="003341B1">
        <w:rPr>
          <w:szCs w:val="21"/>
        </w:rPr>
        <w:t>O programa busca estabelecer uma política pública permanente de acesso à água de boa qualidade para o consumo humano por meio do aproveitamento sustentável de águas subterrâneas, incorporando cuidados ambientais e sociais na gestão de sistemas de dessalinização.</w:t>
      </w:r>
    </w:p>
    <w:bookmarkEnd w:id="0"/>
    <w:p w:rsidR="00C7675A" w:rsidRPr="003341B1" w:rsidRDefault="00C7675A" w:rsidP="003341B1">
      <w:pPr>
        <w:rPr>
          <w:rStyle w:val="nfase"/>
          <w:rFonts w:ascii="Times New Roman" w:hAnsi="Times New Roman" w:cs="Times New Roman"/>
          <w:i w:val="0"/>
          <w:iCs w:val="0"/>
          <w:sz w:val="20"/>
        </w:rPr>
      </w:pPr>
    </w:p>
    <w:sectPr w:rsidR="00C7675A" w:rsidRPr="003341B1" w:rsidSect="003341B1"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0574"/>
    <w:multiLevelType w:val="multilevel"/>
    <w:tmpl w:val="C98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5A"/>
    <w:rsid w:val="000F2CDE"/>
    <w:rsid w:val="003341B1"/>
    <w:rsid w:val="0046662E"/>
    <w:rsid w:val="00723272"/>
    <w:rsid w:val="00AA1583"/>
    <w:rsid w:val="00C7675A"/>
    <w:rsid w:val="00E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8DE"/>
  <w15:docId w15:val="{D5E25F20-702F-480A-846C-08DA9078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675A"/>
    <w:rPr>
      <w:b/>
      <w:bCs/>
    </w:rPr>
  </w:style>
  <w:style w:type="character" w:styleId="nfaseIntensa">
    <w:name w:val="Intense Emphasis"/>
    <w:basedOn w:val="Fontepargpadro"/>
    <w:uiPriority w:val="21"/>
    <w:qFormat/>
    <w:rsid w:val="00C7675A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C7675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CD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666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662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-compartilhe">
    <w:name w:val="texto-compartilhe"/>
    <w:basedOn w:val="Fontepargpadro"/>
    <w:rsid w:val="0046662E"/>
  </w:style>
  <w:style w:type="paragraph" w:styleId="NormalWeb">
    <w:name w:val="Normal (Web)"/>
    <w:basedOn w:val="Normal"/>
    <w:uiPriority w:val="99"/>
    <w:unhideWhenUsed/>
    <w:rsid w:val="0046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46662E"/>
  </w:style>
  <w:style w:type="character" w:customStyle="1" w:styleId="omnia-new-ads-span">
    <w:name w:val="omnia-new-ads-span"/>
    <w:basedOn w:val="Fontepargpadro"/>
    <w:rsid w:val="0046662E"/>
  </w:style>
  <w:style w:type="character" w:customStyle="1" w:styleId="apple-converted-space">
    <w:name w:val="apple-converted-space"/>
    <w:basedOn w:val="Fontepargpadro"/>
    <w:rsid w:val="0046662E"/>
  </w:style>
  <w:style w:type="character" w:customStyle="1" w:styleId="documentauthor">
    <w:name w:val="documentauthor"/>
    <w:basedOn w:val="Fontepargpadro"/>
    <w:rsid w:val="003341B1"/>
  </w:style>
  <w:style w:type="character" w:customStyle="1" w:styleId="documentpublished">
    <w:name w:val="documentpublished"/>
    <w:basedOn w:val="Fontepargpadro"/>
    <w:rsid w:val="003341B1"/>
  </w:style>
  <w:style w:type="character" w:customStyle="1" w:styleId="documentmodified">
    <w:name w:val="documentmodified"/>
    <w:basedOn w:val="Fontepargpadro"/>
    <w:rsid w:val="003341B1"/>
  </w:style>
  <w:style w:type="character" w:customStyle="1" w:styleId="copyright">
    <w:name w:val="copyright"/>
    <w:basedOn w:val="Fontepargpadro"/>
    <w:rsid w:val="003341B1"/>
  </w:style>
  <w:style w:type="character" w:styleId="Hyperlink">
    <w:name w:val="Hyperlink"/>
    <w:basedOn w:val="Fontepargpadro"/>
    <w:uiPriority w:val="99"/>
    <w:semiHidden/>
    <w:unhideWhenUsed/>
    <w:rsid w:val="003341B1"/>
    <w:rPr>
      <w:color w:val="0000FF"/>
      <w:u w:val="single"/>
    </w:rPr>
  </w:style>
  <w:style w:type="paragraph" w:customStyle="1" w:styleId="discreet">
    <w:name w:val="discreet"/>
    <w:basedOn w:val="Normal"/>
    <w:rsid w:val="003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tree-widget">
    <w:name w:val="contenttree-widget"/>
    <w:basedOn w:val="Fontepargpadro"/>
    <w:rsid w:val="0033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640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083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889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7DCD8"/>
            <w:right w:val="none" w:sz="0" w:space="0" w:color="auto"/>
          </w:divBdr>
        </w:div>
        <w:div w:id="892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353">
          <w:marLeft w:val="0"/>
          <w:marRight w:val="240"/>
          <w:marTop w:val="23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566">
              <w:marLeft w:val="0"/>
              <w:marRight w:val="0"/>
              <w:marTop w:val="336"/>
              <w:marBottom w:val="24"/>
              <w:divBdr>
                <w:top w:val="single" w:sz="6" w:space="0" w:color="C0C1C3"/>
                <w:left w:val="single" w:sz="6" w:space="0" w:color="C0C1C3"/>
                <w:bottom w:val="single" w:sz="6" w:space="0" w:color="C0C1C3"/>
                <w:right w:val="single" w:sz="6" w:space="0" w:color="C0C1C3"/>
              </w:divBdr>
              <w:divsChild>
                <w:div w:id="780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756">
                  <w:marLeft w:val="0"/>
                  <w:marRight w:val="0"/>
                  <w:marTop w:val="0"/>
                  <w:marBottom w:val="0"/>
                  <w:divBdr>
                    <w:top w:val="dotted" w:sz="6" w:space="0" w:color="C0C1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93">
                  <w:marLeft w:val="0"/>
                  <w:marRight w:val="0"/>
                  <w:marTop w:val="0"/>
                  <w:marBottom w:val="0"/>
                  <w:divBdr>
                    <w:top w:val="dotted" w:sz="6" w:space="0" w:color="C0C1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Jackson Lima da Cruz</cp:lastModifiedBy>
  <cp:revision>2</cp:revision>
  <cp:lastPrinted>2017-05-16T22:13:00Z</cp:lastPrinted>
  <dcterms:created xsi:type="dcterms:W3CDTF">2017-05-17T14:19:00Z</dcterms:created>
  <dcterms:modified xsi:type="dcterms:W3CDTF">2017-05-17T14:19:00Z</dcterms:modified>
</cp:coreProperties>
</file>