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59" w:rsidRPr="00CF5659" w:rsidRDefault="00CF5659" w:rsidP="00CF5659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kern w:val="36"/>
          <w:sz w:val="48"/>
          <w:szCs w:val="43"/>
          <w:lang w:val="pt-PT" w:eastAsia="pt-BR"/>
        </w:rPr>
      </w:pPr>
      <w:r w:rsidRPr="00CF5659">
        <w:rPr>
          <w:rFonts w:ascii="Georgia" w:eastAsia="Times New Roman" w:hAnsi="Georgia" w:cs="Times New Roman"/>
          <w:kern w:val="36"/>
          <w:sz w:val="48"/>
          <w:szCs w:val="43"/>
          <w:lang w:val="pt-PT" w:eastAsia="pt-BR"/>
        </w:rPr>
        <w:t>Solidariedade</w:t>
      </w:r>
    </w:p>
    <w:p w:rsidR="00CF5659" w:rsidRPr="00CF5659" w:rsidRDefault="00CF5659" w:rsidP="00CF5659">
      <w:pPr>
        <w:spacing w:after="0" w:line="240" w:lineRule="auto"/>
        <w:rPr>
          <w:rFonts w:ascii="Arial" w:eastAsia="Times New Roman" w:hAnsi="Arial" w:cs="Arial"/>
          <w:szCs w:val="19"/>
          <w:lang w:eastAsia="pt-BR"/>
        </w:rPr>
      </w:pPr>
      <w:r w:rsidRPr="00CF5659">
        <w:rPr>
          <w:rFonts w:ascii="Arial" w:eastAsia="Times New Roman" w:hAnsi="Arial" w:cs="Arial"/>
          <w:b/>
          <w:bCs/>
          <w:sz w:val="24"/>
          <w:szCs w:val="21"/>
          <w:lang w:val="pt-PT" w:eastAsia="pt-BR"/>
        </w:rPr>
        <w:t>Solidariedade</w:t>
      </w:r>
      <w:r w:rsidRPr="00CF5659">
        <w:rPr>
          <w:rFonts w:ascii="Arial" w:eastAsia="Times New Roman" w:hAnsi="Arial" w:cs="Arial"/>
          <w:sz w:val="24"/>
          <w:szCs w:val="21"/>
          <w:lang w:val="pt-PT" w:eastAsia="pt-BR"/>
        </w:rPr>
        <w:t> é um ato de bondade com o próximo ou um sentimento, uma união de simpatias, interesses ou propósitos entre os membros de um grupo. Ao pé da letra, significa:</w:t>
      </w:r>
      <w:hyperlink r:id="rId5" w:anchor="cite_note-1" w:history="1">
        <w:r w:rsidRPr="00CF5659">
          <w:rPr>
            <w:rFonts w:ascii="Arial" w:eastAsia="Times New Roman" w:hAnsi="Arial" w:cs="Arial"/>
            <w:sz w:val="24"/>
            <w:szCs w:val="21"/>
            <w:vertAlign w:val="superscript"/>
            <w:lang w:val="pt-PT" w:eastAsia="pt-BR"/>
          </w:rPr>
          <w:t>[1]</w:t>
        </w:r>
      </w:hyperlink>
    </w:p>
    <w:p w:rsidR="00CF5659" w:rsidRPr="00CF5659" w:rsidRDefault="00CF5659" w:rsidP="00CF5659">
      <w:pPr>
        <w:numPr>
          <w:ilvl w:val="0"/>
          <w:numId w:val="1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sz w:val="24"/>
          <w:szCs w:val="21"/>
          <w:lang w:val="pt-PT" w:eastAsia="pt-BR"/>
        </w:rPr>
      </w:pPr>
      <w:r w:rsidRPr="00CF5659">
        <w:rPr>
          <w:rFonts w:ascii="Arial" w:eastAsia="Times New Roman" w:hAnsi="Arial" w:cs="Arial"/>
          <w:sz w:val="24"/>
          <w:szCs w:val="21"/>
          <w:lang w:val="pt-PT" w:eastAsia="pt-BR"/>
        </w:rPr>
        <w:t>Cooperação mútua entre duas ou mais pessoas.</w:t>
      </w:r>
    </w:p>
    <w:p w:rsidR="00CF5659" w:rsidRPr="00CF5659" w:rsidRDefault="00CF5659" w:rsidP="00CF5659">
      <w:pPr>
        <w:numPr>
          <w:ilvl w:val="0"/>
          <w:numId w:val="1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sz w:val="24"/>
          <w:szCs w:val="21"/>
          <w:lang w:val="pt-PT" w:eastAsia="pt-BR"/>
        </w:rPr>
      </w:pPr>
      <w:r w:rsidRPr="00CF5659">
        <w:rPr>
          <w:rFonts w:ascii="Arial" w:eastAsia="Times New Roman" w:hAnsi="Arial" w:cs="Arial"/>
          <w:sz w:val="24"/>
          <w:szCs w:val="21"/>
          <w:lang w:val="pt-PT" w:eastAsia="pt-BR"/>
        </w:rPr>
        <w:t>Interdependência entre seres e coisas.</w:t>
      </w:r>
    </w:p>
    <w:p w:rsidR="00CF5659" w:rsidRPr="00CF5659" w:rsidRDefault="00CF5659" w:rsidP="00CF5659">
      <w:pPr>
        <w:numPr>
          <w:ilvl w:val="0"/>
          <w:numId w:val="1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sz w:val="24"/>
          <w:szCs w:val="21"/>
          <w:lang w:val="pt-PT" w:eastAsia="pt-BR"/>
        </w:rPr>
      </w:pPr>
      <w:r w:rsidRPr="00CF5659">
        <w:rPr>
          <w:rFonts w:ascii="Arial" w:eastAsia="Times New Roman" w:hAnsi="Arial" w:cs="Arial"/>
          <w:sz w:val="24"/>
          <w:szCs w:val="21"/>
          <w:lang w:val="pt-PT" w:eastAsia="pt-BR"/>
        </w:rPr>
        <w:t>Identidade de sentimentos, de ideias, de doutrinas.</w:t>
      </w:r>
    </w:p>
    <w:p w:rsidR="00CF5659" w:rsidRPr="00CF5659" w:rsidRDefault="00CF5659" w:rsidP="00CF5659">
      <w:pPr>
        <w:spacing w:before="120" w:after="120" w:line="240" w:lineRule="auto"/>
        <w:rPr>
          <w:rFonts w:ascii="Arial" w:eastAsia="Times New Roman" w:hAnsi="Arial" w:cs="Arial"/>
          <w:sz w:val="24"/>
          <w:szCs w:val="21"/>
          <w:lang w:val="pt-PT" w:eastAsia="pt-BR"/>
        </w:rPr>
      </w:pPr>
      <w:r w:rsidRPr="00CF5659">
        <w:rPr>
          <w:rFonts w:ascii="Arial" w:eastAsia="Times New Roman" w:hAnsi="Arial" w:cs="Arial"/>
          <w:sz w:val="24"/>
          <w:szCs w:val="21"/>
          <w:lang w:val="pt-PT" w:eastAsia="pt-BR"/>
        </w:rPr>
        <w:t>Na </w:t>
      </w:r>
      <w:hyperlink r:id="rId6" w:tooltip="Sociologia" w:history="1">
        <w:r w:rsidRPr="00CF5659">
          <w:rPr>
            <w:rFonts w:ascii="Arial" w:eastAsia="Times New Roman" w:hAnsi="Arial" w:cs="Arial"/>
            <w:sz w:val="24"/>
            <w:szCs w:val="21"/>
            <w:lang w:val="pt-PT" w:eastAsia="pt-BR"/>
          </w:rPr>
          <w:t>Sociologia</w:t>
        </w:r>
      </w:hyperlink>
      <w:r w:rsidRPr="00CF5659">
        <w:rPr>
          <w:rFonts w:ascii="Arial" w:eastAsia="Times New Roman" w:hAnsi="Arial" w:cs="Arial"/>
          <w:sz w:val="24"/>
          <w:szCs w:val="21"/>
          <w:lang w:val="pt-PT" w:eastAsia="pt-BR"/>
        </w:rPr>
        <w:t> existe o conceito de </w:t>
      </w:r>
      <w:hyperlink r:id="rId7" w:tooltip="Solidariedade social" w:history="1">
        <w:r w:rsidRPr="00CF5659">
          <w:rPr>
            <w:rFonts w:ascii="Arial" w:eastAsia="Times New Roman" w:hAnsi="Arial" w:cs="Arial"/>
            <w:sz w:val="24"/>
            <w:szCs w:val="21"/>
            <w:lang w:val="pt-PT" w:eastAsia="pt-BR"/>
          </w:rPr>
          <w:t>solidariedade social</w:t>
        </w:r>
      </w:hyperlink>
      <w:r w:rsidRPr="00CF5659">
        <w:rPr>
          <w:rFonts w:ascii="Arial" w:eastAsia="Times New Roman" w:hAnsi="Arial" w:cs="Arial"/>
          <w:sz w:val="24"/>
          <w:szCs w:val="21"/>
          <w:lang w:val="pt-PT" w:eastAsia="pt-BR"/>
        </w:rPr>
        <w:t>, que subentende a ideia de que os seus praticantes se sintam integrantes de uma mesma comunidade, portanto, sintam-se interdependentes.</w:t>
      </w:r>
    </w:p>
    <w:p w:rsidR="00CF5659" w:rsidRPr="00CF5659" w:rsidRDefault="00CF5659" w:rsidP="00CF5659">
      <w:pPr>
        <w:spacing w:before="120" w:after="120" w:line="240" w:lineRule="auto"/>
        <w:rPr>
          <w:rFonts w:ascii="Arial" w:eastAsia="Times New Roman" w:hAnsi="Arial" w:cs="Arial"/>
          <w:sz w:val="24"/>
          <w:szCs w:val="21"/>
          <w:lang w:val="pt-PT" w:eastAsia="pt-BR"/>
        </w:rPr>
      </w:pPr>
      <w:r w:rsidRPr="00CF5659">
        <w:rPr>
          <w:rFonts w:ascii="Arial" w:eastAsia="Times New Roman" w:hAnsi="Arial" w:cs="Arial"/>
          <w:sz w:val="24"/>
          <w:szCs w:val="21"/>
          <w:lang w:val="pt-PT" w:eastAsia="pt-BR"/>
        </w:rPr>
        <w:t>No </w:t>
      </w:r>
      <w:hyperlink r:id="rId8" w:tooltip="Direito tributário" w:history="1">
        <w:r w:rsidRPr="00CF5659">
          <w:rPr>
            <w:rFonts w:ascii="Arial" w:eastAsia="Times New Roman" w:hAnsi="Arial" w:cs="Arial"/>
            <w:sz w:val="24"/>
            <w:szCs w:val="21"/>
            <w:lang w:val="pt-PT" w:eastAsia="pt-BR"/>
          </w:rPr>
          <w:t>Direito tributário</w:t>
        </w:r>
      </w:hyperlink>
      <w:r w:rsidRPr="00CF5659">
        <w:rPr>
          <w:rFonts w:ascii="Arial" w:eastAsia="Times New Roman" w:hAnsi="Arial" w:cs="Arial"/>
          <w:sz w:val="24"/>
          <w:szCs w:val="21"/>
          <w:lang w:val="pt-PT" w:eastAsia="pt-BR"/>
        </w:rPr>
        <w:t>, o termo remete a uma situação que pode ocorrer na </w:t>
      </w:r>
      <w:hyperlink r:id="rId9" w:tooltip="Responsabilidade tributária" w:history="1">
        <w:r w:rsidRPr="00CF5659">
          <w:rPr>
            <w:rFonts w:ascii="Arial" w:eastAsia="Times New Roman" w:hAnsi="Arial" w:cs="Arial"/>
            <w:sz w:val="24"/>
            <w:szCs w:val="21"/>
            <w:lang w:val="pt-PT" w:eastAsia="pt-BR"/>
          </w:rPr>
          <w:t>responsabilidade tributária</w:t>
        </w:r>
      </w:hyperlink>
      <w:r w:rsidRPr="00CF5659">
        <w:rPr>
          <w:rFonts w:ascii="Arial" w:eastAsia="Times New Roman" w:hAnsi="Arial" w:cs="Arial"/>
          <w:sz w:val="24"/>
          <w:szCs w:val="21"/>
          <w:lang w:val="pt-PT" w:eastAsia="pt-BR"/>
        </w:rPr>
        <w:t>: ela ocorre quando há mais de um sujeito passivo (devedor) de uma mesma obrigação tributária, cada qual obrigado à parte da dívida, ou à dívida toda. Também pode ocorrer na </w:t>
      </w:r>
      <w:hyperlink r:id="rId10" w:tooltip="Competência tributária" w:history="1">
        <w:r w:rsidRPr="00CF5659">
          <w:rPr>
            <w:rFonts w:ascii="Arial" w:eastAsia="Times New Roman" w:hAnsi="Arial" w:cs="Arial"/>
            <w:sz w:val="24"/>
            <w:szCs w:val="21"/>
            <w:lang w:val="pt-PT" w:eastAsia="pt-BR"/>
          </w:rPr>
          <w:t>competência tributária</w:t>
        </w:r>
      </w:hyperlink>
      <w:r w:rsidRPr="00CF5659">
        <w:rPr>
          <w:rFonts w:ascii="Arial" w:eastAsia="Times New Roman" w:hAnsi="Arial" w:cs="Arial"/>
          <w:sz w:val="24"/>
          <w:szCs w:val="21"/>
          <w:lang w:val="pt-PT" w:eastAsia="pt-BR"/>
        </w:rPr>
        <w:t>, quando mais de um órgão do </w:t>
      </w:r>
      <w:hyperlink r:id="rId11" w:tooltip="Estado" w:history="1">
        <w:r w:rsidRPr="00CF5659">
          <w:rPr>
            <w:rFonts w:ascii="Arial" w:eastAsia="Times New Roman" w:hAnsi="Arial" w:cs="Arial"/>
            <w:sz w:val="24"/>
            <w:szCs w:val="21"/>
            <w:lang w:val="pt-PT" w:eastAsia="pt-BR"/>
          </w:rPr>
          <w:t>Estado</w:t>
        </w:r>
      </w:hyperlink>
      <w:r w:rsidRPr="00CF5659">
        <w:rPr>
          <w:rFonts w:ascii="Arial" w:eastAsia="Times New Roman" w:hAnsi="Arial" w:cs="Arial"/>
          <w:sz w:val="24"/>
          <w:szCs w:val="21"/>
          <w:lang w:val="pt-PT" w:eastAsia="pt-BR"/>
        </w:rPr>
        <w:t> tem direito à parte da mesma </w:t>
      </w:r>
      <w:hyperlink r:id="rId12" w:tooltip="Obrigação tributária" w:history="1">
        <w:r w:rsidRPr="00CF5659">
          <w:rPr>
            <w:rFonts w:ascii="Arial" w:eastAsia="Times New Roman" w:hAnsi="Arial" w:cs="Arial"/>
            <w:sz w:val="24"/>
            <w:szCs w:val="21"/>
            <w:lang w:val="pt-PT" w:eastAsia="pt-BR"/>
          </w:rPr>
          <w:t>obrigação tributária</w:t>
        </w:r>
      </w:hyperlink>
      <w:r w:rsidRPr="00CF5659">
        <w:rPr>
          <w:rFonts w:ascii="Arial" w:eastAsia="Times New Roman" w:hAnsi="Arial" w:cs="Arial"/>
          <w:sz w:val="24"/>
          <w:szCs w:val="21"/>
          <w:lang w:val="pt-PT" w:eastAsia="pt-BR"/>
        </w:rPr>
        <w:t>.</w:t>
      </w:r>
    </w:p>
    <w:p w:rsidR="00CF5659" w:rsidRPr="00CF5659" w:rsidRDefault="00CF5659" w:rsidP="00CF5659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sz w:val="40"/>
          <w:szCs w:val="32"/>
          <w:lang w:val="pt-PT" w:eastAsia="pt-BR"/>
        </w:rPr>
      </w:pPr>
      <w:r w:rsidRPr="00CF5659">
        <w:rPr>
          <w:rFonts w:ascii="Georgia" w:eastAsia="Times New Roman" w:hAnsi="Georgia" w:cs="Arial"/>
          <w:sz w:val="40"/>
          <w:szCs w:val="32"/>
          <w:lang w:val="pt-PT" w:eastAsia="pt-BR"/>
        </w:rPr>
        <w:t>Conceitos de Solidariedade</w:t>
      </w:r>
      <w:bookmarkStart w:id="0" w:name="_GoBack"/>
      <w:bookmarkEnd w:id="0"/>
    </w:p>
    <w:p w:rsidR="00CF5659" w:rsidRPr="00CF5659" w:rsidRDefault="00CF5659" w:rsidP="00CF5659">
      <w:pPr>
        <w:spacing w:before="120" w:after="120" w:line="240" w:lineRule="auto"/>
        <w:rPr>
          <w:rFonts w:ascii="Arial" w:eastAsia="Times New Roman" w:hAnsi="Arial" w:cs="Arial"/>
          <w:sz w:val="24"/>
          <w:szCs w:val="21"/>
          <w:lang w:val="pt-PT" w:eastAsia="pt-BR"/>
        </w:rPr>
      </w:pPr>
      <w:r w:rsidRPr="00CF5659">
        <w:rPr>
          <w:rFonts w:ascii="Arial" w:eastAsia="Times New Roman" w:hAnsi="Arial" w:cs="Arial"/>
          <w:sz w:val="24"/>
          <w:szCs w:val="21"/>
          <w:lang w:val="pt-PT" w:eastAsia="pt-BR"/>
        </w:rPr>
        <w:t>O </w:t>
      </w:r>
      <w:hyperlink r:id="rId13" w:tooltip="Código Tributário Nacional" w:history="1">
        <w:r w:rsidRPr="00CF5659">
          <w:rPr>
            <w:rFonts w:ascii="Arial" w:eastAsia="Times New Roman" w:hAnsi="Arial" w:cs="Arial"/>
            <w:sz w:val="24"/>
            <w:szCs w:val="21"/>
            <w:lang w:val="pt-PT" w:eastAsia="pt-BR"/>
          </w:rPr>
          <w:t>Código Tributário Nacional</w:t>
        </w:r>
      </w:hyperlink>
      <w:r w:rsidRPr="00CF5659">
        <w:rPr>
          <w:rFonts w:ascii="Arial" w:eastAsia="Times New Roman" w:hAnsi="Arial" w:cs="Arial"/>
          <w:sz w:val="24"/>
          <w:szCs w:val="21"/>
          <w:lang w:val="pt-PT" w:eastAsia="pt-BR"/>
        </w:rPr>
        <w:t> (CTN) define a solidariedade nos seus Artigos 124 e 125.</w:t>
      </w:r>
      <w:hyperlink r:id="rId14" w:anchor="cite_note-2" w:history="1">
        <w:r w:rsidRPr="00CF5659">
          <w:rPr>
            <w:rFonts w:ascii="Arial" w:eastAsia="Times New Roman" w:hAnsi="Arial" w:cs="Arial"/>
            <w:sz w:val="24"/>
            <w:szCs w:val="21"/>
            <w:vertAlign w:val="superscript"/>
            <w:lang w:val="pt-PT" w:eastAsia="pt-BR"/>
          </w:rPr>
          <w:t>[2]</w:t>
        </w:r>
      </w:hyperlink>
      <w:r w:rsidRPr="00CF5659">
        <w:rPr>
          <w:rFonts w:ascii="Arial" w:eastAsia="Times New Roman" w:hAnsi="Arial" w:cs="Arial"/>
          <w:sz w:val="24"/>
          <w:szCs w:val="21"/>
          <w:lang w:val="pt-PT" w:eastAsia="pt-BR"/>
        </w:rPr>
        <w:t> O Art.124 diz que são solidariamente obrigadas, as </w:t>
      </w:r>
      <w:hyperlink r:id="rId15" w:tooltip="Pessoas" w:history="1">
        <w:r w:rsidRPr="00CF5659">
          <w:rPr>
            <w:rFonts w:ascii="Arial" w:eastAsia="Times New Roman" w:hAnsi="Arial" w:cs="Arial"/>
            <w:sz w:val="24"/>
            <w:szCs w:val="21"/>
            <w:lang w:val="pt-PT" w:eastAsia="pt-BR"/>
          </w:rPr>
          <w:t>pessoas</w:t>
        </w:r>
      </w:hyperlink>
      <w:r w:rsidRPr="00CF5659">
        <w:rPr>
          <w:rFonts w:ascii="Arial" w:eastAsia="Times New Roman" w:hAnsi="Arial" w:cs="Arial"/>
          <w:sz w:val="24"/>
          <w:szCs w:val="21"/>
          <w:lang w:val="pt-PT" w:eastAsia="pt-BR"/>
        </w:rPr>
        <w:t> que tenham interesse comum na situação que constitua o </w:t>
      </w:r>
      <w:hyperlink r:id="rId16" w:tooltip="Fato gerador" w:history="1">
        <w:r w:rsidRPr="00CF5659">
          <w:rPr>
            <w:rFonts w:ascii="Arial" w:eastAsia="Times New Roman" w:hAnsi="Arial" w:cs="Arial"/>
            <w:sz w:val="24"/>
            <w:szCs w:val="21"/>
            <w:lang w:val="pt-PT" w:eastAsia="pt-BR"/>
          </w:rPr>
          <w:t>fato gerador</w:t>
        </w:r>
      </w:hyperlink>
      <w:r w:rsidRPr="00CF5659">
        <w:rPr>
          <w:rFonts w:ascii="Arial" w:eastAsia="Times New Roman" w:hAnsi="Arial" w:cs="Arial"/>
          <w:sz w:val="24"/>
          <w:szCs w:val="21"/>
          <w:lang w:val="pt-PT" w:eastAsia="pt-BR"/>
        </w:rPr>
        <w:t> da obrigação principal ou as pessoas expressamente designadas por lei.</w:t>
      </w:r>
    </w:p>
    <w:p w:rsidR="00CF5659" w:rsidRPr="00CF5659" w:rsidRDefault="00CF5659" w:rsidP="00CF5659">
      <w:pPr>
        <w:spacing w:before="120" w:after="120" w:line="240" w:lineRule="auto"/>
        <w:rPr>
          <w:rFonts w:ascii="Arial" w:eastAsia="Times New Roman" w:hAnsi="Arial" w:cs="Arial"/>
          <w:sz w:val="24"/>
          <w:szCs w:val="21"/>
          <w:lang w:val="pt-PT" w:eastAsia="pt-BR"/>
        </w:rPr>
      </w:pPr>
      <w:r w:rsidRPr="00CF5659">
        <w:rPr>
          <w:rFonts w:ascii="Arial" w:eastAsia="Times New Roman" w:hAnsi="Arial" w:cs="Arial"/>
          <w:sz w:val="24"/>
          <w:szCs w:val="21"/>
          <w:lang w:val="pt-PT" w:eastAsia="pt-BR"/>
        </w:rPr>
        <w:t>Se duas ou mais pessoas forem proprietárias de um imóvel, elas têm um interesse comum na situação que é </w:t>
      </w:r>
      <w:hyperlink r:id="rId17" w:tooltip="Fato gerador" w:history="1">
        <w:r w:rsidRPr="00CF5659">
          <w:rPr>
            <w:rFonts w:ascii="Arial" w:eastAsia="Times New Roman" w:hAnsi="Arial" w:cs="Arial"/>
            <w:sz w:val="24"/>
            <w:szCs w:val="21"/>
            <w:lang w:val="pt-PT" w:eastAsia="pt-BR"/>
          </w:rPr>
          <w:t>fato gerador</w:t>
        </w:r>
      </w:hyperlink>
      <w:r w:rsidRPr="00CF5659">
        <w:rPr>
          <w:rFonts w:ascii="Arial" w:eastAsia="Times New Roman" w:hAnsi="Arial" w:cs="Arial"/>
          <w:sz w:val="24"/>
          <w:szCs w:val="21"/>
          <w:lang w:val="pt-PT" w:eastAsia="pt-BR"/>
        </w:rPr>
        <w:t> da obrigação de pagar o </w:t>
      </w:r>
      <w:hyperlink r:id="rId18" w:tooltip="IPTU" w:history="1">
        <w:r w:rsidRPr="00CF5659">
          <w:rPr>
            <w:rFonts w:ascii="Arial" w:eastAsia="Times New Roman" w:hAnsi="Arial" w:cs="Arial"/>
            <w:sz w:val="24"/>
            <w:szCs w:val="21"/>
            <w:lang w:val="pt-PT" w:eastAsia="pt-BR"/>
          </w:rPr>
          <w:t>IPTU</w:t>
        </w:r>
      </w:hyperlink>
      <w:r w:rsidRPr="00CF5659">
        <w:rPr>
          <w:rFonts w:ascii="Arial" w:eastAsia="Times New Roman" w:hAnsi="Arial" w:cs="Arial"/>
          <w:sz w:val="24"/>
          <w:szCs w:val="21"/>
          <w:lang w:val="pt-PT" w:eastAsia="pt-BR"/>
        </w:rPr>
        <w:t>. Há, pois, solidariedade tributária entre elas (art. 124, I).</w:t>
      </w:r>
    </w:p>
    <w:p w:rsidR="00CF5659" w:rsidRPr="00CF5659" w:rsidRDefault="00CF5659" w:rsidP="00CF5659">
      <w:pPr>
        <w:spacing w:before="120" w:after="120" w:line="240" w:lineRule="auto"/>
        <w:rPr>
          <w:rFonts w:ascii="Arial" w:eastAsia="Times New Roman" w:hAnsi="Arial" w:cs="Arial"/>
          <w:sz w:val="24"/>
          <w:szCs w:val="21"/>
          <w:lang w:val="pt-PT" w:eastAsia="pt-BR"/>
        </w:rPr>
      </w:pPr>
      <w:r w:rsidRPr="00CF5659">
        <w:rPr>
          <w:rFonts w:ascii="Arial" w:eastAsia="Times New Roman" w:hAnsi="Arial" w:cs="Arial"/>
          <w:sz w:val="24"/>
          <w:szCs w:val="21"/>
          <w:lang w:val="pt-PT" w:eastAsia="pt-BR"/>
        </w:rPr>
        <w:t>Quando uma empresa não efetuar o recolhimento regular de seus tributos, o administrador, gerente ou contador, pode ser chamado a responder pela obrigação juntamente com a empresa (art. 124, II).</w:t>
      </w:r>
    </w:p>
    <w:p w:rsidR="00CF5659" w:rsidRPr="00CF5659" w:rsidRDefault="00CF5659" w:rsidP="00CF5659">
      <w:pPr>
        <w:spacing w:before="120" w:after="120" w:line="240" w:lineRule="auto"/>
        <w:rPr>
          <w:rFonts w:ascii="Arial" w:eastAsia="Times New Roman" w:hAnsi="Arial" w:cs="Arial"/>
          <w:sz w:val="24"/>
          <w:szCs w:val="21"/>
          <w:lang w:val="pt-PT" w:eastAsia="pt-BR"/>
        </w:rPr>
      </w:pPr>
      <w:r w:rsidRPr="00CF5659">
        <w:rPr>
          <w:rFonts w:ascii="Arial" w:eastAsia="Times New Roman" w:hAnsi="Arial" w:cs="Arial"/>
          <w:sz w:val="24"/>
          <w:szCs w:val="21"/>
          <w:lang w:val="pt-PT" w:eastAsia="pt-BR"/>
        </w:rPr>
        <w:t>Na solidariedade tributária não se admite o benefício de ordem, isto é, a escolha de quem, em comum, irá cumprir a obrigação (art. 124, Parágrafo Único).</w:t>
      </w:r>
    </w:p>
    <w:p w:rsidR="00CF5659" w:rsidRPr="00CF5659" w:rsidRDefault="00CF5659" w:rsidP="00CF5659">
      <w:pPr>
        <w:spacing w:before="120" w:after="120" w:line="240" w:lineRule="auto"/>
        <w:rPr>
          <w:rFonts w:ascii="Arial" w:eastAsia="Times New Roman" w:hAnsi="Arial" w:cs="Arial"/>
          <w:sz w:val="24"/>
          <w:szCs w:val="21"/>
          <w:lang w:val="pt-PT" w:eastAsia="pt-BR"/>
        </w:rPr>
      </w:pPr>
      <w:r w:rsidRPr="00CF5659">
        <w:rPr>
          <w:rFonts w:ascii="Arial" w:eastAsia="Times New Roman" w:hAnsi="Arial" w:cs="Arial"/>
          <w:sz w:val="24"/>
          <w:szCs w:val="21"/>
          <w:lang w:val="pt-PT" w:eastAsia="pt-BR"/>
        </w:rPr>
        <w:t>Todos encontram-se vinculados na solidariedade: Não se admite que um não pague, por motivo de idade, de estado de riqueza ou de má situação econômica.</w:t>
      </w:r>
    </w:p>
    <w:p w:rsidR="00CF5659" w:rsidRPr="00CF5659" w:rsidRDefault="00CF5659" w:rsidP="00CF5659">
      <w:pPr>
        <w:spacing w:before="120" w:after="120" w:line="240" w:lineRule="auto"/>
        <w:rPr>
          <w:rFonts w:ascii="Arial" w:eastAsia="Times New Roman" w:hAnsi="Arial" w:cs="Arial"/>
          <w:sz w:val="24"/>
          <w:szCs w:val="21"/>
          <w:lang w:val="pt-PT" w:eastAsia="pt-BR"/>
        </w:rPr>
      </w:pPr>
      <w:r w:rsidRPr="00CF5659">
        <w:rPr>
          <w:rFonts w:ascii="Arial" w:eastAsia="Times New Roman" w:hAnsi="Arial" w:cs="Arial"/>
          <w:sz w:val="24"/>
          <w:szCs w:val="21"/>
          <w:lang w:val="pt-PT" w:eastAsia="pt-BR"/>
        </w:rPr>
        <w:t>O Art.125 estipula os efeitos da solidariedade:</w:t>
      </w:r>
    </w:p>
    <w:p w:rsidR="00CF5659" w:rsidRPr="00CF5659" w:rsidRDefault="00CF5659" w:rsidP="00CF5659">
      <w:pPr>
        <w:spacing w:after="24" w:line="240" w:lineRule="auto"/>
        <w:ind w:left="720"/>
        <w:rPr>
          <w:rFonts w:ascii="Arial" w:eastAsia="Times New Roman" w:hAnsi="Arial" w:cs="Arial"/>
          <w:sz w:val="24"/>
          <w:szCs w:val="21"/>
          <w:lang w:val="pt-PT" w:eastAsia="pt-BR"/>
        </w:rPr>
      </w:pPr>
      <w:r w:rsidRPr="00CF5659">
        <w:rPr>
          <w:rFonts w:ascii="Arial" w:eastAsia="Times New Roman" w:hAnsi="Arial" w:cs="Arial"/>
          <w:sz w:val="24"/>
          <w:szCs w:val="21"/>
          <w:lang w:val="pt-PT" w:eastAsia="pt-BR"/>
        </w:rPr>
        <w:t>I- o pagamento efetuado por um dos obrigados aproveita aos demais;</w:t>
      </w:r>
    </w:p>
    <w:p w:rsidR="00CF5659" w:rsidRPr="00CF5659" w:rsidRDefault="00CF5659" w:rsidP="00CF5659">
      <w:pPr>
        <w:spacing w:after="24" w:line="240" w:lineRule="auto"/>
        <w:ind w:left="720"/>
        <w:rPr>
          <w:rFonts w:ascii="Arial" w:eastAsia="Times New Roman" w:hAnsi="Arial" w:cs="Arial"/>
          <w:sz w:val="24"/>
          <w:szCs w:val="21"/>
          <w:lang w:val="pt-PT" w:eastAsia="pt-BR"/>
        </w:rPr>
      </w:pPr>
      <w:r w:rsidRPr="00CF5659">
        <w:rPr>
          <w:rFonts w:ascii="Arial" w:eastAsia="Times New Roman" w:hAnsi="Arial" w:cs="Arial"/>
          <w:sz w:val="24"/>
          <w:szCs w:val="21"/>
          <w:lang w:val="pt-PT" w:eastAsia="pt-BR"/>
        </w:rPr>
        <w:t>II- a isenção ou remissão de crédito exonera todos os obrigados, salvo se outorgada pessoalmente a um deles, subsistindo, nesse caso, a solidariedade quanto aos demais pelo saldo;</w:t>
      </w:r>
    </w:p>
    <w:p w:rsidR="00CF5659" w:rsidRPr="00CF5659" w:rsidRDefault="00CF5659" w:rsidP="00CF5659">
      <w:pPr>
        <w:spacing w:after="24" w:line="240" w:lineRule="auto"/>
        <w:ind w:left="720"/>
        <w:rPr>
          <w:rFonts w:ascii="Arial" w:eastAsia="Times New Roman" w:hAnsi="Arial" w:cs="Arial"/>
          <w:sz w:val="24"/>
          <w:szCs w:val="21"/>
          <w:lang w:val="pt-PT" w:eastAsia="pt-BR"/>
        </w:rPr>
      </w:pPr>
      <w:r w:rsidRPr="00CF5659">
        <w:rPr>
          <w:rFonts w:ascii="Arial" w:eastAsia="Times New Roman" w:hAnsi="Arial" w:cs="Arial"/>
          <w:sz w:val="24"/>
          <w:szCs w:val="21"/>
          <w:lang w:val="pt-PT" w:eastAsia="pt-BR"/>
        </w:rPr>
        <w:t>III- a interrupção da prescrição, em favor ou contra um dos obrigados, favorece ou prejudica aos demais.</w:t>
      </w:r>
    </w:p>
    <w:p w:rsidR="00E52551" w:rsidRPr="00CF5659" w:rsidRDefault="00057D24">
      <w:pPr>
        <w:rPr>
          <w:sz w:val="32"/>
        </w:rPr>
      </w:pPr>
    </w:p>
    <w:p w:rsidR="00CF5659" w:rsidRPr="00CF5659" w:rsidRDefault="00CF5659">
      <w:pPr>
        <w:rPr>
          <w:sz w:val="32"/>
        </w:rPr>
      </w:pPr>
    </w:p>
    <w:p w:rsidR="00CF5659" w:rsidRPr="00CF5659" w:rsidRDefault="00CF5659">
      <w:pPr>
        <w:rPr>
          <w:sz w:val="32"/>
        </w:rPr>
      </w:pPr>
    </w:p>
    <w:p w:rsidR="00CF5659" w:rsidRPr="00CF5659" w:rsidRDefault="00CF5659">
      <w:pPr>
        <w:rPr>
          <w:sz w:val="32"/>
        </w:rPr>
      </w:pPr>
    </w:p>
    <w:p w:rsidR="00CF5659" w:rsidRPr="00CF5659" w:rsidRDefault="00CF5659">
      <w:pPr>
        <w:rPr>
          <w:sz w:val="32"/>
        </w:rPr>
      </w:pPr>
    </w:p>
    <w:p w:rsidR="00CF5659" w:rsidRPr="00CF5659" w:rsidRDefault="00CF5659">
      <w:pPr>
        <w:rPr>
          <w:sz w:val="32"/>
        </w:rPr>
      </w:pPr>
      <w:r w:rsidRPr="00CF5659">
        <w:rPr>
          <w:noProof/>
          <w:lang w:eastAsia="pt-BR"/>
        </w:rPr>
        <w:lastRenderedPageBreak/>
        <w:drawing>
          <wp:inline distT="0" distB="0" distL="0" distR="0" wp14:anchorId="021531D8" wp14:editId="0225EDC9">
            <wp:extent cx="6099175" cy="4184015"/>
            <wp:effectExtent l="0" t="0" r="0" b="6985"/>
            <wp:docPr id="2" name="Imagem 2" descr="http://www.acheartigos.com.br/files/solidariedade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cheartigos.com.br/files/solidariedade-5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18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659" w:rsidRPr="00CF5659" w:rsidRDefault="00CF5659">
      <w:pPr>
        <w:rPr>
          <w:sz w:val="32"/>
        </w:rPr>
      </w:pPr>
      <w:r w:rsidRPr="00CF5659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041FE1FC" wp14:editId="562D403B">
            <wp:simplePos x="0" y="0"/>
            <wp:positionH relativeFrom="margin">
              <wp:align>left</wp:align>
            </wp:positionH>
            <wp:positionV relativeFrom="paragraph">
              <wp:posOffset>368489</wp:posOffset>
            </wp:positionV>
            <wp:extent cx="6100445" cy="3275330"/>
            <wp:effectExtent l="0" t="0" r="0" b="1270"/>
            <wp:wrapTight wrapText="bothSides">
              <wp:wrapPolygon edited="0">
                <wp:start x="0" y="0"/>
                <wp:lineTo x="0" y="21483"/>
                <wp:lineTo x="21517" y="21483"/>
                <wp:lineTo x="21517" y="0"/>
                <wp:lineTo x="0" y="0"/>
              </wp:wrapPolygon>
            </wp:wrapTight>
            <wp:docPr id="3" name="Imagem 3" descr="http://domtotal.com/img/noticias/2015-09/945225_231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mtotal.com/img/noticias/2015-09/945225_23194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32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5659" w:rsidRPr="00CF5659" w:rsidSect="00CF56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710A9"/>
    <w:multiLevelType w:val="multilevel"/>
    <w:tmpl w:val="AC14F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EA70ED"/>
    <w:multiLevelType w:val="multilevel"/>
    <w:tmpl w:val="05AA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59"/>
    <w:rsid w:val="00057D24"/>
    <w:rsid w:val="00761556"/>
    <w:rsid w:val="00CF5659"/>
    <w:rsid w:val="00F2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F4D5"/>
  <w15:chartTrackingRefBased/>
  <w15:docId w15:val="{7A2D9BFF-8BA5-4A4B-B4F9-E6DB681A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F5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F565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F565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F565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F5659"/>
  </w:style>
  <w:style w:type="paragraph" w:styleId="NormalWeb">
    <w:name w:val="Normal (Web)"/>
    <w:basedOn w:val="Normal"/>
    <w:uiPriority w:val="99"/>
    <w:semiHidden/>
    <w:unhideWhenUsed/>
    <w:rsid w:val="00CF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octoggle">
    <w:name w:val="toctoggle"/>
    <w:basedOn w:val="Fontepargpadro"/>
    <w:rsid w:val="00CF5659"/>
  </w:style>
  <w:style w:type="character" w:customStyle="1" w:styleId="tocnumber">
    <w:name w:val="tocnumber"/>
    <w:basedOn w:val="Fontepargpadro"/>
    <w:rsid w:val="00CF5659"/>
  </w:style>
  <w:style w:type="character" w:customStyle="1" w:styleId="toctext">
    <w:name w:val="toctext"/>
    <w:basedOn w:val="Fontepargpadro"/>
    <w:rsid w:val="00CF5659"/>
  </w:style>
  <w:style w:type="character" w:customStyle="1" w:styleId="mw-headline">
    <w:name w:val="mw-headline"/>
    <w:basedOn w:val="Fontepargpadro"/>
    <w:rsid w:val="00CF5659"/>
  </w:style>
  <w:style w:type="character" w:customStyle="1" w:styleId="mw-editsection">
    <w:name w:val="mw-editsection"/>
    <w:basedOn w:val="Fontepargpadro"/>
    <w:rsid w:val="00CF5659"/>
  </w:style>
  <w:style w:type="character" w:customStyle="1" w:styleId="mw-editsection-bracket">
    <w:name w:val="mw-editsection-bracket"/>
    <w:basedOn w:val="Fontepargpadro"/>
    <w:rsid w:val="00CF5659"/>
  </w:style>
  <w:style w:type="character" w:customStyle="1" w:styleId="mw-editsection-divider">
    <w:name w:val="mw-editsection-divider"/>
    <w:basedOn w:val="Fontepargpadro"/>
    <w:rsid w:val="00CF5659"/>
  </w:style>
  <w:style w:type="paragraph" w:styleId="Textodebalo">
    <w:name w:val="Balloon Text"/>
    <w:basedOn w:val="Normal"/>
    <w:link w:val="TextodebaloChar"/>
    <w:uiPriority w:val="99"/>
    <w:semiHidden/>
    <w:unhideWhenUsed/>
    <w:rsid w:val="00CF5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388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8398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Direito_tribut%C3%A1rio" TargetMode="External"/><Relationship Id="rId13" Type="http://schemas.openxmlformats.org/officeDocument/2006/relationships/hyperlink" Target="https://pt.wikipedia.org/wiki/C%C3%B3digo_Tribut%C3%A1rio_Nacional" TargetMode="External"/><Relationship Id="rId18" Type="http://schemas.openxmlformats.org/officeDocument/2006/relationships/hyperlink" Target="https://pt.wikipedia.org/wiki/IPT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t.wikipedia.org/wiki/Solidariedade_social" TargetMode="External"/><Relationship Id="rId12" Type="http://schemas.openxmlformats.org/officeDocument/2006/relationships/hyperlink" Target="https://pt.wikipedia.org/wiki/Obriga%C3%A7%C3%A3o_tribut%C3%A1ria" TargetMode="External"/><Relationship Id="rId17" Type="http://schemas.openxmlformats.org/officeDocument/2006/relationships/hyperlink" Target="https://pt.wikipedia.org/wiki/Fato_gerador" TargetMode="External"/><Relationship Id="rId2" Type="http://schemas.openxmlformats.org/officeDocument/2006/relationships/styles" Target="styles.xml"/><Relationship Id="rId16" Type="http://schemas.openxmlformats.org/officeDocument/2006/relationships/hyperlink" Target="https://pt.wikipedia.org/wiki/Fato_gerador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pt.wikipedia.org/wiki/Sociologia" TargetMode="External"/><Relationship Id="rId11" Type="http://schemas.openxmlformats.org/officeDocument/2006/relationships/hyperlink" Target="https://pt.wikipedia.org/wiki/Estado" TargetMode="External"/><Relationship Id="rId5" Type="http://schemas.openxmlformats.org/officeDocument/2006/relationships/hyperlink" Target="https://pt.wikipedia.org/wiki/Solidariedade" TargetMode="External"/><Relationship Id="rId15" Type="http://schemas.openxmlformats.org/officeDocument/2006/relationships/hyperlink" Target="https://pt.wikipedia.org/wiki/Pessoas" TargetMode="External"/><Relationship Id="rId10" Type="http://schemas.openxmlformats.org/officeDocument/2006/relationships/hyperlink" Target="https://pt.wikipedia.org/wiki/Compet%C3%AAncia_tribut%C3%A1ria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Responsabilidade_tribut%C3%A1ria" TargetMode="External"/><Relationship Id="rId14" Type="http://schemas.openxmlformats.org/officeDocument/2006/relationships/hyperlink" Target="https://pt.wikipedia.org/wiki/Solidarieda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cp:lastPrinted>2016-10-24T13:44:00Z</cp:lastPrinted>
  <dcterms:created xsi:type="dcterms:W3CDTF">2016-10-24T13:38:00Z</dcterms:created>
  <dcterms:modified xsi:type="dcterms:W3CDTF">2016-10-24T14:05:00Z</dcterms:modified>
</cp:coreProperties>
</file>