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1D" w:rsidRDefault="002D051D" w:rsidP="002D051D">
      <w:pPr>
        <w:pStyle w:val="SemEspaamento"/>
      </w:pP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Quem foi Tiradentes?</w:t>
      </w:r>
      <w:bookmarkStart w:id="0" w:name="_GoBack"/>
      <w:bookmarkEnd w:id="0"/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Tiradentes”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era o apelido atribuído 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Joaquim José da Silva Xavier,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que ficou famoso por ser um dos líderes da</w:t>
      </w:r>
      <w:r>
        <w:rPr>
          <w:rStyle w:val="apple-converted-space"/>
          <w:rFonts w:ascii="Arial" w:hAnsi="Arial" w:cs="Arial"/>
          <w:b/>
          <w:bCs/>
          <w:color w:val="462907"/>
          <w:bdr w:val="none" w:sz="0" w:space="0" w:color="auto" w:frame="1"/>
        </w:rPr>
        <w:t> </w:t>
      </w:r>
      <w:hyperlink r:id="rId6" w:history="1">
        <w:r>
          <w:rPr>
            <w:rStyle w:val="Forte"/>
            <w:rFonts w:ascii="inherit" w:hAnsi="inherit" w:cs="Arial"/>
            <w:color w:val="8E4B00"/>
            <w:bdr w:val="none" w:sz="0" w:space="0" w:color="auto" w:frame="1"/>
          </w:rPr>
          <w:t>Inconfidência Mineira</w:t>
        </w:r>
      </w:hyperlink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e por ter sido o único, entre os inconfidentes, a receber a pena capital, isto é, a pena de morte, pela forca.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Nascido em 12 de novembro de 1746, na então Capitania de Minas Gerais, durante o Brasil Colonial, Joaquim José desempenhou várias profissões. Entre elas, estava a de dentista amador, por isso foi apelidado como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Tiradentes.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Além de dentista, Tiradentes também tentou a sorte como tropeiro (condutor de tropas de animais, transportadoras de mercadorias), minerador e mascate (mercador ambulante), mas fracassou em todas. A única profissão que lhe rendeu estabilidade foi o posto de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alferes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– patente abaixo da de tenente – da cavalaria de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Dragões Reais de Minas</w:t>
      </w:r>
      <w:r>
        <w:rPr>
          <w:rFonts w:ascii="Arial" w:hAnsi="Arial"/>
        </w:rPr>
        <w:t xml:space="preserve">, a força militar atuante na Capitania de Minas Geras e subordinada à Coroa </w:t>
      </w:r>
      <w:proofErr w:type="gramStart"/>
      <w:r>
        <w:rPr>
          <w:rFonts w:ascii="Arial" w:hAnsi="Arial"/>
        </w:rPr>
        <w:t>Portuguesa</w:t>
      </w:r>
      <w:proofErr w:type="gramEnd"/>
    </w:p>
    <w:p w:rsidR="002D051D" w:rsidRDefault="002D051D" w:rsidP="002D051D">
      <w:pPr>
        <w:pStyle w:val="SemEspaamento"/>
      </w:pP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O</w:t>
      </w:r>
      <w:r>
        <w:rPr>
          <w:rStyle w:val="apple-converted-space"/>
          <w:rFonts w:ascii="inherit" w:hAnsi="inherit" w:cs="Arial"/>
          <w:b/>
          <w:bCs/>
          <w:color w:val="462907"/>
          <w:sz w:val="27"/>
          <w:szCs w:val="27"/>
          <w:bdr w:val="none" w:sz="0" w:space="0" w:color="auto" w:frame="1"/>
        </w:rPr>
        <w:t> </w:t>
      </w:r>
      <w:r>
        <w:rPr>
          <w:rStyle w:val="Forte"/>
          <w:rFonts w:ascii="inherit" w:hAnsi="inherit" w:cs="Arial"/>
          <w:i/>
          <w:iCs/>
          <w:color w:val="462907"/>
          <w:sz w:val="27"/>
          <w:szCs w:val="27"/>
          <w:bdr w:val="none" w:sz="0" w:space="0" w:color="auto" w:frame="1"/>
        </w:rPr>
        <w:t>quinto</w:t>
      </w: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b/>
          <w:bCs/>
          <w:color w:val="462907"/>
          <w:sz w:val="27"/>
          <w:szCs w:val="27"/>
          <w:bdr w:val="none" w:sz="0" w:space="0" w:color="auto" w:frame="1"/>
        </w:rPr>
        <w:t> </w:t>
      </w: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a</w:t>
      </w:r>
      <w:r>
        <w:rPr>
          <w:rStyle w:val="apple-converted-space"/>
          <w:rFonts w:ascii="inherit" w:hAnsi="inherit" w:cs="Arial"/>
          <w:b/>
          <w:bCs/>
          <w:color w:val="462907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Forte"/>
          <w:rFonts w:ascii="inherit" w:hAnsi="inherit" w:cs="Arial"/>
          <w:i/>
          <w:iCs/>
          <w:color w:val="462907"/>
          <w:sz w:val="27"/>
          <w:szCs w:val="27"/>
          <w:bdr w:val="none" w:sz="0" w:space="0" w:color="auto" w:frame="1"/>
        </w:rPr>
        <w:t>derrama</w:t>
      </w:r>
      <w:proofErr w:type="gramEnd"/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Tiradentes, apesar de não ser um intelectual, interessava-se por escritos políticos, como as leis constitucionais dos Estados Unidos, país que havia conquistado a sua independência em 1776, quando o alferes tinha 30 anos de idade. Os interesses políticos de Joaquim José da Silva Xavier aos poucos foram se divergindo dos interesses de outros habitantes de</w:t>
      </w:r>
      <w:r>
        <w:rPr>
          <w:rStyle w:val="apple-converted-space"/>
          <w:rFonts w:ascii="Arial" w:hAnsi="Arial" w:cs="Arial"/>
          <w:b/>
          <w:bCs/>
          <w:color w:val="462907"/>
          <w:bdr w:val="none" w:sz="0" w:space="0" w:color="auto" w:frame="1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Vila Rica</w:t>
      </w:r>
      <w:r>
        <w:rPr>
          <w:rFonts w:ascii="Arial" w:hAnsi="Arial"/>
        </w:rPr>
        <w:t>, que era o centro da atividade mineradora do Brasil na época. Intelectuais como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Cláudio Manuel da Costa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e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Tomás Antônio Gonzaga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ambos</w:t>
      </w:r>
      <w:proofErr w:type="gramEnd"/>
      <w:r>
        <w:rPr>
          <w:rFonts w:ascii="Arial" w:hAnsi="Arial"/>
        </w:rPr>
        <w:t xml:space="preserve"> poetas e conhecedores das ideias filosóficas do</w:t>
      </w:r>
      <w:r>
        <w:rPr>
          <w:rStyle w:val="apple-converted-space"/>
          <w:rFonts w:ascii="Arial" w:hAnsi="Arial" w:cs="Arial"/>
          <w:b/>
          <w:bCs/>
          <w:color w:val="462907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inherit" w:hAnsi="inherit" w:cs="Arial"/>
            <w:b/>
            <w:bCs/>
            <w:color w:val="8E4B00"/>
            <w:u w:val="none"/>
            <w:bdr w:val="none" w:sz="0" w:space="0" w:color="auto" w:frame="1"/>
          </w:rPr>
          <w:t>Iluminismo Francês</w:t>
        </w:r>
      </w:hyperlink>
      <w:r>
        <w:rPr>
          <w:rFonts w:ascii="Arial" w:hAnsi="Arial"/>
        </w:rPr>
        <w:t>, foram algumas das personalidades importantes com as quais Tiradentes se juntou com o objetivo de retirar do poder o então Governador da Capitania de Minas Gerais, nomeado pela Coroa Portuguesa,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Visconde de Barbacena</w:t>
      </w:r>
      <w:r>
        <w:rPr>
          <w:rFonts w:ascii="Arial" w:hAnsi="Arial"/>
        </w:rPr>
        <w:t>. Mas qual era o motivo para tal revolta?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O motivo principal que animava Tiradentes e os outros envolvidos na Inconfidência a se levantarem contra o governo de Visconde de Barbacena e o Império Português era a constante retirada das riquezas da região por meio de impostos excessivos. Do ouro produzido na Capitania de Minas de Gerais, a Coroa Portuguesa cobrava o chamado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inherit" w:hAnsi="inherit" w:cs="Arial"/>
          <w:i/>
          <w:iCs/>
          <w:color w:val="462907"/>
          <w:bdr w:val="none" w:sz="0" w:space="0" w:color="auto" w:frame="1"/>
        </w:rPr>
        <w:t>quinto</w:t>
      </w:r>
      <w:r>
        <w:rPr>
          <w:rFonts w:ascii="Arial" w:hAnsi="Arial"/>
        </w:rPr>
        <w:t>, isto é, o equivalente a cerca de 20% do total extraído. Ocorreu que, a partir da década de 1760, a extração de ouro regrediu consideravelmente, mas não o valor do imposto. A taxa do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quinto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continuou a ser exigida dos mineradores locais, e o governador Barbacena, para fazer valer a lei, chegava até a impor agressões físicas.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O problema agravou-se mais ainda quando, para reverter a margem defasada dos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quintos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 xml:space="preserve">recolhidos, a Coroa Portuguesa autorizou a </w:t>
      </w:r>
      <w:proofErr w:type="gramStart"/>
      <w:r>
        <w:rPr>
          <w:rFonts w:ascii="Arial" w:hAnsi="Arial"/>
        </w:rPr>
        <w:t>implementação</w:t>
      </w:r>
      <w:proofErr w:type="gramEnd"/>
      <w:r>
        <w:rPr>
          <w:rFonts w:ascii="Arial" w:hAnsi="Arial"/>
        </w:rPr>
        <w:t xml:space="preserve"> da chamada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inherit" w:hAnsi="inherit" w:cs="Arial"/>
          <w:i/>
          <w:iCs/>
          <w:color w:val="462907"/>
          <w:bdr w:val="none" w:sz="0" w:space="0" w:color="auto" w:frame="1"/>
        </w:rPr>
        <w:t>derrama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.</w:t>
      </w:r>
      <w:r>
        <w:rPr>
          <w:rStyle w:val="apple-converted-space"/>
          <w:rFonts w:ascii="inherit" w:hAnsi="inherit" w:cs="Arial"/>
          <w:i/>
          <w:iCs/>
          <w:color w:val="462907"/>
          <w:bdr w:val="none" w:sz="0" w:space="0" w:color="auto" w:frame="1"/>
        </w:rPr>
        <w:t> </w:t>
      </w:r>
      <w:r>
        <w:rPr>
          <w:rFonts w:ascii="Arial" w:hAnsi="Arial"/>
        </w:rPr>
        <w:t>A derrama obrigava os mineradores a cobrirem com suas posses, isto é, tudo aquilo que lhes pertencia como objeto de valor, o que faltava na quantia do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quinto.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Isso significava que o rombo provocado no pagamento do imposto à Coroa, resultante do declínio da mineração, acabou tendo que ser pago com outras formas de obtenção de dinheiro, como pedágios cobrados sobre o uso das estradas, escravos etc. Todos eram forçados a pagar 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derrama.</w:t>
      </w:r>
    </w:p>
    <w:p w:rsidR="002D051D" w:rsidRDefault="002D051D" w:rsidP="002D051D">
      <w:pPr>
        <w:pStyle w:val="SemEspaamento"/>
      </w:pP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A Inconfidência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 xml:space="preserve">A conspiração dos inconfidentes começou a ser preparada em 1788 para que as ações passassem a se realizar no ano seguinte. Tiradentes, por sua personalidade agitada, ficou conhecido como o mais radical dos inconfidentes, como diz </w:t>
      </w:r>
      <w:proofErr w:type="gramStart"/>
      <w:r>
        <w:rPr>
          <w:rFonts w:ascii="Arial" w:hAnsi="Arial"/>
        </w:rPr>
        <w:t>o pesquisador Lucas Figueiredo, em seu livro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Boa Ventura</w:t>
      </w:r>
      <w:proofErr w:type="gramEnd"/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!</w:t>
      </w:r>
      <w:r>
        <w:rPr>
          <w:rStyle w:val="apple-converted-space"/>
          <w:rFonts w:ascii="inherit" w:hAnsi="inherit" w:cs="Arial"/>
          <w:i/>
          <w:iCs/>
          <w:color w:val="462907"/>
          <w:bdr w:val="none" w:sz="0" w:space="0" w:color="auto" w:frame="1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A corrida do ouro no Brasil (1697-1810)</w:t>
      </w:r>
      <w:r>
        <w:rPr>
          <w:rFonts w:ascii="Arial" w:hAnsi="Arial"/>
        </w:rPr>
        <w:t>: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Um radical entre moderados, um franco entre dissimulados, ele defendia – publicamente e em qualquer lugar (de bordéis a residências de ricos mercadores) – uma revolução que tornasse Minas Gerais independente de Portugal. ''Era pena'', dizia o alferes, ''que uns países tão ricos como estes [as Minas Gerais] estivessem reduzidos à maior miséria, só porque a Europa</w:t>
      </w:r>
      <w:proofErr w:type="gramStart"/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, como esponja, lhe estivesse</w:t>
      </w:r>
      <w:proofErr w:type="gramEnd"/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 xml:space="preserve"> chupando toda a substância''</w:t>
      </w:r>
      <w:r>
        <w:rPr>
          <w:rFonts w:ascii="Arial" w:hAnsi="Arial"/>
        </w:rPr>
        <w:t>”.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[1]</w:t>
      </w:r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Tiradentes chegou a tramar a morte de Visconde de Barbacena, e isso só não foi concretizado porque Barbacena, por meio da confissão de um dos inconfidentes,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José Silvério dos Reis</w:t>
      </w:r>
      <w:r>
        <w:rPr>
          <w:rFonts w:ascii="Arial" w:hAnsi="Arial"/>
        </w:rPr>
        <w:t>, desmantelou a trama e prendeu todos os envolvidos.</w:t>
      </w:r>
    </w:p>
    <w:p w:rsidR="002D051D" w:rsidRDefault="002D051D" w:rsidP="002D051D">
      <w:pPr>
        <w:pStyle w:val="SemEspaamento"/>
      </w:pPr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 xml:space="preserve">Prisão, morte e </w:t>
      </w:r>
      <w:proofErr w:type="spellStart"/>
      <w:proofErr w:type="gramStart"/>
      <w:r>
        <w:rPr>
          <w:rStyle w:val="Forte"/>
          <w:rFonts w:ascii="inherit" w:hAnsi="inherit" w:cs="Arial"/>
          <w:color w:val="462907"/>
          <w:sz w:val="27"/>
          <w:szCs w:val="27"/>
          <w:bdr w:val="none" w:sz="0" w:space="0" w:color="auto" w:frame="1"/>
        </w:rPr>
        <w:t>heroificação</w:t>
      </w:r>
      <w:proofErr w:type="spellEnd"/>
      <w:proofErr w:type="gramEnd"/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Presos, muitos dos inconfidentes, temendo severas punições, não confessaram seus crimes. O único a fazê-lo foi Tiradentes, que, por isso mesmo, recebeu a pena mais dura, em um processo transcorrido na cidade do Rio de Janeiro, que só teve fim em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21 de abril de 1792</w:t>
      </w:r>
      <w:r>
        <w:rPr>
          <w:rFonts w:ascii="Arial" w:hAnsi="Arial"/>
        </w:rPr>
        <w:t>. Tiradentes foi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“enforcado, decapitado e esquartejado. Para que os súditos da Coroa nunca se esquecessem da lição, a cabeça de Tiradentes foi encravada num estaca e exposta em praça pública em Vila Rica, e seus membros, espalhados pela estrada que levava ao Rio de Janeiro.</w:t>
      </w:r>
      <w:r>
        <w:rPr>
          <w:rFonts w:ascii="Arial" w:hAnsi="Arial"/>
        </w:rPr>
        <w:t>”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[2</w:t>
      </w:r>
      <w:proofErr w:type="gramStart"/>
      <w:r>
        <w:rPr>
          <w:rStyle w:val="Forte"/>
          <w:rFonts w:ascii="Arial" w:hAnsi="Arial" w:cs="Arial"/>
          <w:color w:val="462907"/>
          <w:bdr w:val="none" w:sz="0" w:space="0" w:color="auto" w:frame="1"/>
        </w:rPr>
        <w:t>]</w:t>
      </w:r>
      <w:proofErr w:type="gramEnd"/>
    </w:p>
    <w:p w:rsidR="002D051D" w:rsidRDefault="002D051D" w:rsidP="002D051D">
      <w:pPr>
        <w:pStyle w:val="SemEspaamento"/>
        <w:rPr>
          <w:rFonts w:ascii="Arial" w:hAnsi="Arial"/>
        </w:rPr>
      </w:pPr>
      <w:r>
        <w:rPr>
          <w:rFonts w:ascii="Arial" w:hAnsi="Arial"/>
        </w:rPr>
        <w:t>Vale notar que, tanto no período imperial quanto no período republicano, a imagem de Tiradentes passou a ser tomada como um ícone da liberdade e da independência do Brasil, como um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herói da nação</w:t>
      </w:r>
      <w:r>
        <w:rPr>
          <w:rFonts w:ascii="Arial" w:hAnsi="Arial"/>
        </w:rPr>
        <w:t>. Essa imagem foi constantemente reforçada por pinturas (como 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imagem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no início</w:t>
      </w:r>
      <w:r>
        <w:rPr>
          <w:rStyle w:val="apple-converted-space"/>
          <w:rFonts w:ascii="inherit" w:hAnsi="inherit" w:cs="Arial"/>
          <w:i/>
          <w:iCs/>
          <w:color w:val="462907"/>
          <w:bdr w:val="none" w:sz="0" w:space="0" w:color="auto" w:frame="1"/>
        </w:rPr>
        <w:t> </w:t>
      </w:r>
      <w:r>
        <w:rPr>
          <w:rStyle w:val="nfase"/>
          <w:rFonts w:ascii="inherit" w:hAnsi="inherit" w:cs="Arial"/>
          <w:color w:val="462907"/>
          <w:bdr w:val="none" w:sz="0" w:space="0" w:color="auto" w:frame="1"/>
        </w:rPr>
        <w:t>deste texto</w:t>
      </w:r>
      <w:r>
        <w:rPr>
          <w:rFonts w:ascii="Arial" w:hAnsi="Arial"/>
        </w:rPr>
        <w:t>, de autoria de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Pedro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Américo</w:t>
      </w:r>
      <w:r>
        <w:rPr>
          <w:rFonts w:ascii="Arial" w:hAnsi="Arial"/>
        </w:rPr>
        <w:t>) e monumentos (como a instalação do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primeiro monumento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dedicado a ele na cidade de Ouro Preto, em 1867). No ano de 1965, já na primeira fase do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Regime Militar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Fonts w:ascii="Arial" w:hAnsi="Arial"/>
        </w:rPr>
        <w:t>no Brasil, o marechal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Castelo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Branco</w:t>
      </w:r>
      <w:r>
        <w:rPr>
          <w:rFonts w:ascii="Arial" w:hAnsi="Arial"/>
        </w:rPr>
        <w:t>, então presidente da República, contribuiu para o reforço dessa imagem de Tiradentes, sancionando a</w:t>
      </w:r>
      <w:r>
        <w:rPr>
          <w:rStyle w:val="apple-converted-space"/>
          <w:rFonts w:ascii="Arial" w:hAnsi="Arial" w:cs="Arial"/>
          <w:color w:val="462907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Lei Nº 4. 897</w:t>
      </w:r>
      <w:r>
        <w:rPr>
          <w:rFonts w:ascii="Arial" w:hAnsi="Arial"/>
        </w:rPr>
        <w:t xml:space="preserve">, de </w:t>
      </w:r>
      <w:proofErr w:type="gramStart"/>
      <w:r>
        <w:rPr>
          <w:rFonts w:ascii="Arial" w:hAnsi="Arial"/>
        </w:rPr>
        <w:t>9</w:t>
      </w:r>
      <w:proofErr w:type="gramEnd"/>
      <w:r>
        <w:rPr>
          <w:rFonts w:ascii="Arial" w:hAnsi="Arial"/>
        </w:rPr>
        <w:t xml:space="preserve"> de dezembro, que instituía o dia 21 de abril como feriado nacional e Tiradentes como, oficialmente,</w:t>
      </w:r>
      <w:r>
        <w:rPr>
          <w:rStyle w:val="apple-converted-space"/>
          <w:rFonts w:ascii="Arial" w:hAnsi="Arial" w:cs="Arial"/>
          <w:b/>
          <w:bCs/>
          <w:color w:val="462907"/>
          <w:bdr w:val="none" w:sz="0" w:space="0" w:color="auto" w:frame="1"/>
        </w:rPr>
        <w:t> </w:t>
      </w:r>
      <w:r>
        <w:rPr>
          <w:rStyle w:val="Forte"/>
          <w:rFonts w:ascii="Arial" w:hAnsi="Arial" w:cs="Arial"/>
          <w:color w:val="462907"/>
          <w:bdr w:val="none" w:sz="0" w:space="0" w:color="auto" w:frame="1"/>
        </w:rPr>
        <w:t>Patrono da Nação Brasileira</w:t>
      </w:r>
      <w:r>
        <w:rPr>
          <w:rFonts w:ascii="Arial" w:hAnsi="Arial"/>
        </w:rPr>
        <w:t>.</w:t>
      </w:r>
    </w:p>
    <w:p w:rsidR="00937249" w:rsidRDefault="0042217A" w:rsidP="002D051D">
      <w:pPr>
        <w:pStyle w:val="SemEspaamento"/>
      </w:pPr>
    </w:p>
    <w:sectPr w:rsidR="00937249" w:rsidSect="002D051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98"/>
    <w:multiLevelType w:val="multilevel"/>
    <w:tmpl w:val="D4F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A766C"/>
    <w:multiLevelType w:val="multilevel"/>
    <w:tmpl w:val="9DE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1BDD"/>
    <w:multiLevelType w:val="multilevel"/>
    <w:tmpl w:val="3E1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F0E5C"/>
    <w:multiLevelType w:val="multilevel"/>
    <w:tmpl w:val="32F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1D"/>
    <w:rsid w:val="002D051D"/>
    <w:rsid w:val="0042217A"/>
    <w:rsid w:val="008F6F05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51D"/>
    <w:rPr>
      <w:b/>
      <w:bCs/>
    </w:rPr>
  </w:style>
  <w:style w:type="character" w:customStyle="1" w:styleId="apple-converted-space">
    <w:name w:val="apple-converted-space"/>
    <w:basedOn w:val="Fontepargpadro"/>
    <w:rsid w:val="002D051D"/>
  </w:style>
  <w:style w:type="character" w:styleId="Hyperlink">
    <w:name w:val="Hyperlink"/>
    <w:basedOn w:val="Fontepargpadro"/>
    <w:uiPriority w:val="99"/>
    <w:semiHidden/>
    <w:unhideWhenUsed/>
    <w:rsid w:val="002D051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D051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51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D0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51D"/>
    <w:rPr>
      <w:b/>
      <w:bCs/>
    </w:rPr>
  </w:style>
  <w:style w:type="character" w:customStyle="1" w:styleId="apple-converted-space">
    <w:name w:val="apple-converted-space"/>
    <w:basedOn w:val="Fontepargpadro"/>
    <w:rsid w:val="002D051D"/>
  </w:style>
  <w:style w:type="character" w:styleId="Hyperlink">
    <w:name w:val="Hyperlink"/>
    <w:basedOn w:val="Fontepargpadro"/>
    <w:uiPriority w:val="99"/>
    <w:semiHidden/>
    <w:unhideWhenUsed/>
    <w:rsid w:val="002D051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D051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51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D0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toriadomundo.uol.com.br/idade-moderna/a-importancia-do-iluminismo-frances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adomundo.uol.com.br/idade-moderna/inconfidencia-minei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2017-04-18T15:38:00Z</cp:lastPrinted>
  <dcterms:created xsi:type="dcterms:W3CDTF">2017-04-18T15:37:00Z</dcterms:created>
  <dcterms:modified xsi:type="dcterms:W3CDTF">2017-04-18T18:29:00Z</dcterms:modified>
</cp:coreProperties>
</file>